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953" w:rsidRDefault="00D20953" w:rsidP="009D1AE7">
      <w:pPr>
        <w:tabs>
          <w:tab w:val="left" w:pos="3648"/>
        </w:tabs>
        <w:spacing w:after="0" w:line="240" w:lineRule="auto"/>
        <w:jc w:val="center"/>
        <w:rPr>
          <w:rFonts w:ascii="Times New Roman" w:hAnsi="Times New Roman" w:cs="Times New Roman"/>
          <w:b/>
          <w:sz w:val="25"/>
          <w:szCs w:val="25"/>
        </w:rPr>
      </w:pPr>
      <w:bookmarkStart w:id="0" w:name="_GoBack"/>
      <w:bookmarkEnd w:id="0"/>
      <w:r w:rsidRPr="009D1AE7">
        <w:rPr>
          <w:rFonts w:ascii="Times New Roman" w:hAnsi="Times New Roman" w:cs="Times New Roman"/>
          <w:b/>
          <w:sz w:val="25"/>
          <w:szCs w:val="25"/>
        </w:rPr>
        <w:t>SUPREME COURT OF INDIA</w:t>
      </w:r>
    </w:p>
    <w:p w:rsidR="009D1AE7" w:rsidRPr="009D1AE7" w:rsidRDefault="009D1AE7" w:rsidP="009D1AE7">
      <w:pPr>
        <w:tabs>
          <w:tab w:val="left" w:pos="3648"/>
        </w:tabs>
        <w:spacing w:after="0" w:line="240" w:lineRule="auto"/>
        <w:jc w:val="center"/>
        <w:rPr>
          <w:rFonts w:ascii="Times New Roman" w:hAnsi="Times New Roman" w:cs="Times New Roman"/>
          <w:b/>
          <w:sz w:val="25"/>
          <w:szCs w:val="25"/>
        </w:rPr>
      </w:pPr>
    </w:p>
    <w:p w:rsidR="00D20953" w:rsidRPr="009D1AE7" w:rsidRDefault="00D20953" w:rsidP="009D1AE7">
      <w:pPr>
        <w:spacing w:after="0" w:line="240" w:lineRule="auto"/>
        <w:jc w:val="center"/>
        <w:rPr>
          <w:rFonts w:ascii="Times New Roman" w:hAnsi="Times New Roman" w:cs="Times New Roman"/>
          <w:sz w:val="25"/>
          <w:szCs w:val="25"/>
        </w:rPr>
      </w:pPr>
      <w:r w:rsidRPr="009D1AE7">
        <w:rPr>
          <w:rFonts w:ascii="Times New Roman" w:hAnsi="Times New Roman" w:cs="Times New Roman"/>
          <w:sz w:val="25"/>
          <w:szCs w:val="25"/>
        </w:rPr>
        <w:t>Hindustan Lever Limited</w:t>
      </w:r>
    </w:p>
    <w:p w:rsidR="009D1AE7" w:rsidRDefault="009D1AE7" w:rsidP="009D1AE7">
      <w:pPr>
        <w:spacing w:after="0" w:line="240" w:lineRule="auto"/>
        <w:jc w:val="center"/>
        <w:rPr>
          <w:rFonts w:ascii="Times New Roman" w:hAnsi="Times New Roman" w:cs="Times New Roman"/>
          <w:sz w:val="25"/>
          <w:szCs w:val="25"/>
        </w:rPr>
      </w:pPr>
    </w:p>
    <w:p w:rsidR="00D20953" w:rsidRPr="009D1AE7" w:rsidRDefault="00D20953" w:rsidP="009D1AE7">
      <w:pPr>
        <w:spacing w:after="0" w:line="240" w:lineRule="auto"/>
        <w:jc w:val="center"/>
        <w:rPr>
          <w:rFonts w:ascii="Times New Roman" w:hAnsi="Times New Roman" w:cs="Times New Roman"/>
          <w:sz w:val="25"/>
          <w:szCs w:val="25"/>
        </w:rPr>
      </w:pPr>
      <w:r w:rsidRPr="009D1AE7">
        <w:rPr>
          <w:rFonts w:ascii="Times New Roman" w:hAnsi="Times New Roman" w:cs="Times New Roman"/>
          <w:sz w:val="25"/>
          <w:szCs w:val="25"/>
        </w:rPr>
        <w:t>Vs</w:t>
      </w:r>
      <w:r w:rsidR="009D1AE7">
        <w:rPr>
          <w:rFonts w:ascii="Times New Roman" w:hAnsi="Times New Roman" w:cs="Times New Roman"/>
          <w:sz w:val="25"/>
          <w:szCs w:val="25"/>
        </w:rPr>
        <w:t>.</w:t>
      </w:r>
    </w:p>
    <w:p w:rsidR="009D1AE7" w:rsidRDefault="009D1AE7" w:rsidP="009D1AE7">
      <w:pPr>
        <w:spacing w:after="0" w:line="240" w:lineRule="auto"/>
        <w:jc w:val="center"/>
        <w:rPr>
          <w:rFonts w:ascii="Times New Roman" w:hAnsi="Times New Roman" w:cs="Times New Roman"/>
          <w:sz w:val="25"/>
          <w:szCs w:val="25"/>
        </w:rPr>
      </w:pPr>
    </w:p>
    <w:p w:rsidR="00D20953" w:rsidRPr="009D1AE7" w:rsidRDefault="00D20953" w:rsidP="009D1AE7">
      <w:pPr>
        <w:spacing w:after="0" w:line="240" w:lineRule="auto"/>
        <w:jc w:val="center"/>
        <w:rPr>
          <w:rFonts w:ascii="Times New Roman" w:hAnsi="Times New Roman" w:cs="Times New Roman"/>
          <w:sz w:val="25"/>
          <w:szCs w:val="25"/>
        </w:rPr>
      </w:pPr>
      <w:r w:rsidRPr="009D1AE7">
        <w:rPr>
          <w:rFonts w:ascii="Times New Roman" w:hAnsi="Times New Roman" w:cs="Times New Roman"/>
          <w:sz w:val="25"/>
          <w:szCs w:val="25"/>
        </w:rPr>
        <w:t>Director General (Investigation &amp; Registration)</w:t>
      </w:r>
    </w:p>
    <w:p w:rsidR="009D1AE7" w:rsidRDefault="009D1AE7" w:rsidP="009D1AE7">
      <w:pPr>
        <w:spacing w:after="0" w:line="240" w:lineRule="auto"/>
        <w:jc w:val="center"/>
        <w:rPr>
          <w:rFonts w:ascii="Times New Roman" w:hAnsi="Times New Roman" w:cs="Times New Roman"/>
          <w:sz w:val="25"/>
          <w:szCs w:val="25"/>
        </w:rPr>
      </w:pPr>
    </w:p>
    <w:p w:rsidR="009D1AE7" w:rsidRPr="009D1AE7" w:rsidRDefault="009D1AE7" w:rsidP="009D1AE7">
      <w:pPr>
        <w:spacing w:after="0" w:line="240" w:lineRule="auto"/>
        <w:jc w:val="center"/>
        <w:rPr>
          <w:rFonts w:ascii="Times New Roman" w:hAnsi="Times New Roman" w:cs="Times New Roman"/>
          <w:sz w:val="25"/>
          <w:szCs w:val="25"/>
        </w:rPr>
      </w:pPr>
      <w:r w:rsidRPr="009D1AE7">
        <w:rPr>
          <w:rFonts w:ascii="Times New Roman" w:hAnsi="Times New Roman" w:cs="Times New Roman"/>
          <w:sz w:val="25"/>
          <w:szCs w:val="25"/>
        </w:rPr>
        <w:t>C</w:t>
      </w:r>
      <w:r>
        <w:rPr>
          <w:rFonts w:ascii="Times New Roman" w:hAnsi="Times New Roman" w:cs="Times New Roman"/>
          <w:sz w:val="25"/>
          <w:szCs w:val="25"/>
        </w:rPr>
        <w:t>.</w:t>
      </w:r>
      <w:r w:rsidRPr="009D1AE7">
        <w:rPr>
          <w:rFonts w:ascii="Times New Roman" w:hAnsi="Times New Roman" w:cs="Times New Roman"/>
          <w:sz w:val="25"/>
          <w:szCs w:val="25"/>
        </w:rPr>
        <w:t>A</w:t>
      </w:r>
      <w:r>
        <w:rPr>
          <w:rFonts w:ascii="Times New Roman" w:hAnsi="Times New Roman" w:cs="Times New Roman"/>
          <w:sz w:val="25"/>
          <w:szCs w:val="25"/>
        </w:rPr>
        <w:t>.</w:t>
      </w:r>
      <w:r w:rsidRPr="009D1AE7">
        <w:rPr>
          <w:rFonts w:ascii="Times New Roman" w:hAnsi="Times New Roman" w:cs="Times New Roman"/>
          <w:sz w:val="25"/>
          <w:szCs w:val="25"/>
        </w:rPr>
        <w:t>No.2457 of 1987</w:t>
      </w:r>
    </w:p>
    <w:p w:rsidR="009D1AE7" w:rsidRDefault="009D1AE7" w:rsidP="009D1AE7">
      <w:pPr>
        <w:spacing w:after="0" w:line="240" w:lineRule="auto"/>
        <w:jc w:val="center"/>
        <w:rPr>
          <w:rFonts w:ascii="Times New Roman" w:hAnsi="Times New Roman" w:cs="Times New Roman"/>
          <w:sz w:val="25"/>
          <w:szCs w:val="25"/>
        </w:rPr>
      </w:pPr>
    </w:p>
    <w:p w:rsidR="00D20953" w:rsidRPr="009D1AE7" w:rsidRDefault="00D20953" w:rsidP="009D1AE7">
      <w:pPr>
        <w:spacing w:after="0" w:line="240" w:lineRule="auto"/>
        <w:jc w:val="center"/>
        <w:rPr>
          <w:rFonts w:ascii="Times New Roman" w:hAnsi="Times New Roman" w:cs="Times New Roman"/>
          <w:sz w:val="25"/>
          <w:szCs w:val="25"/>
        </w:rPr>
      </w:pPr>
      <w:proofErr w:type="gramStart"/>
      <w:r w:rsidRPr="009D1AE7">
        <w:rPr>
          <w:rFonts w:ascii="Times New Roman" w:hAnsi="Times New Roman" w:cs="Times New Roman"/>
          <w:sz w:val="25"/>
          <w:szCs w:val="25"/>
        </w:rPr>
        <w:t xml:space="preserve">(B.N. </w:t>
      </w:r>
      <w:proofErr w:type="spellStart"/>
      <w:r w:rsidRPr="009D1AE7">
        <w:rPr>
          <w:rFonts w:ascii="Times New Roman" w:hAnsi="Times New Roman" w:cs="Times New Roman"/>
          <w:sz w:val="25"/>
          <w:szCs w:val="25"/>
        </w:rPr>
        <w:t>Kirpal</w:t>
      </w:r>
      <w:proofErr w:type="spellEnd"/>
      <w:r w:rsidRPr="009D1AE7">
        <w:rPr>
          <w:rFonts w:ascii="Times New Roman" w:hAnsi="Times New Roman" w:cs="Times New Roman"/>
          <w:sz w:val="25"/>
          <w:szCs w:val="25"/>
        </w:rPr>
        <w:t xml:space="preserve">, </w:t>
      </w:r>
      <w:proofErr w:type="spellStart"/>
      <w:r w:rsidRPr="009D1AE7">
        <w:rPr>
          <w:rFonts w:ascii="Times New Roman" w:hAnsi="Times New Roman" w:cs="Times New Roman"/>
          <w:sz w:val="25"/>
          <w:szCs w:val="25"/>
        </w:rPr>
        <w:t>Ruma</w:t>
      </w:r>
      <w:proofErr w:type="spellEnd"/>
      <w:r w:rsidRPr="009D1AE7">
        <w:rPr>
          <w:rFonts w:ascii="Times New Roman" w:hAnsi="Times New Roman" w:cs="Times New Roman"/>
          <w:sz w:val="25"/>
          <w:szCs w:val="25"/>
        </w:rPr>
        <w:t xml:space="preserve"> Pal and </w:t>
      </w:r>
      <w:proofErr w:type="spellStart"/>
      <w:r w:rsidRPr="009D1AE7">
        <w:rPr>
          <w:rFonts w:ascii="Times New Roman" w:hAnsi="Times New Roman" w:cs="Times New Roman"/>
          <w:sz w:val="25"/>
          <w:szCs w:val="25"/>
        </w:rPr>
        <w:t>Brijesh</w:t>
      </w:r>
      <w:proofErr w:type="spellEnd"/>
      <w:r w:rsidRPr="009D1AE7">
        <w:rPr>
          <w:rFonts w:ascii="Times New Roman" w:hAnsi="Times New Roman" w:cs="Times New Roman"/>
          <w:sz w:val="25"/>
          <w:szCs w:val="25"/>
        </w:rPr>
        <w:t xml:space="preserve"> Kumar JJ.)</w:t>
      </w:r>
      <w:proofErr w:type="gramEnd"/>
    </w:p>
    <w:p w:rsidR="009D1AE7" w:rsidRDefault="009D1AE7" w:rsidP="009D1AE7">
      <w:pPr>
        <w:spacing w:after="0" w:line="240" w:lineRule="auto"/>
        <w:jc w:val="center"/>
        <w:rPr>
          <w:rFonts w:ascii="Times New Roman" w:hAnsi="Times New Roman" w:cs="Times New Roman"/>
          <w:sz w:val="25"/>
          <w:szCs w:val="25"/>
        </w:rPr>
      </w:pPr>
    </w:p>
    <w:p w:rsidR="00D20953" w:rsidRPr="009D1AE7" w:rsidRDefault="00D20953" w:rsidP="009D1AE7">
      <w:pPr>
        <w:spacing w:after="0" w:line="240" w:lineRule="auto"/>
        <w:jc w:val="center"/>
        <w:rPr>
          <w:rFonts w:ascii="Times New Roman" w:hAnsi="Times New Roman" w:cs="Times New Roman"/>
          <w:sz w:val="25"/>
          <w:szCs w:val="25"/>
        </w:rPr>
      </w:pPr>
      <w:r w:rsidRPr="009D1AE7">
        <w:rPr>
          <w:rFonts w:ascii="Times New Roman" w:hAnsi="Times New Roman" w:cs="Times New Roman"/>
          <w:sz w:val="25"/>
          <w:szCs w:val="25"/>
        </w:rPr>
        <w:t>10.01.2001</w:t>
      </w:r>
    </w:p>
    <w:p w:rsidR="009D1AE7" w:rsidRDefault="009D1AE7" w:rsidP="009D1AE7">
      <w:pPr>
        <w:spacing w:after="0" w:line="240" w:lineRule="auto"/>
        <w:jc w:val="center"/>
        <w:rPr>
          <w:rFonts w:ascii="Times New Roman" w:hAnsi="Times New Roman" w:cs="Times New Roman"/>
          <w:sz w:val="25"/>
          <w:szCs w:val="25"/>
        </w:rPr>
      </w:pPr>
    </w:p>
    <w:p w:rsidR="00D20953" w:rsidRPr="009D1AE7" w:rsidRDefault="00D20953" w:rsidP="009D1AE7">
      <w:pPr>
        <w:spacing w:after="0" w:line="240" w:lineRule="auto"/>
        <w:jc w:val="center"/>
        <w:rPr>
          <w:rFonts w:ascii="Times New Roman" w:hAnsi="Times New Roman" w:cs="Times New Roman"/>
          <w:b/>
          <w:sz w:val="25"/>
          <w:szCs w:val="25"/>
        </w:rPr>
      </w:pPr>
      <w:r w:rsidRPr="009D1AE7">
        <w:rPr>
          <w:rFonts w:ascii="Times New Roman" w:hAnsi="Times New Roman" w:cs="Times New Roman"/>
          <w:b/>
          <w:sz w:val="25"/>
          <w:szCs w:val="25"/>
        </w:rPr>
        <w:t>JUDGMENT</w:t>
      </w:r>
    </w:p>
    <w:p w:rsidR="009D1AE7" w:rsidRPr="009D1AE7" w:rsidRDefault="009D1AE7" w:rsidP="009D1AE7">
      <w:pPr>
        <w:spacing w:after="0" w:line="240" w:lineRule="auto"/>
        <w:jc w:val="center"/>
        <w:rPr>
          <w:rFonts w:ascii="Times New Roman" w:hAnsi="Times New Roman" w:cs="Times New Roman"/>
          <w:b/>
          <w:sz w:val="25"/>
          <w:szCs w:val="25"/>
        </w:rPr>
      </w:pPr>
    </w:p>
    <w:p w:rsidR="009D1AE7" w:rsidRPr="009D1AE7" w:rsidRDefault="00D20953" w:rsidP="009D1AE7">
      <w:pPr>
        <w:spacing w:after="0" w:line="240" w:lineRule="auto"/>
        <w:jc w:val="both"/>
        <w:rPr>
          <w:rFonts w:ascii="Times New Roman" w:hAnsi="Times New Roman" w:cs="Times New Roman"/>
          <w:b/>
          <w:sz w:val="25"/>
          <w:szCs w:val="25"/>
        </w:rPr>
      </w:pPr>
      <w:r w:rsidRPr="009D1AE7">
        <w:rPr>
          <w:rFonts w:ascii="Times New Roman" w:hAnsi="Times New Roman" w:cs="Times New Roman"/>
          <w:b/>
          <w:sz w:val="25"/>
          <w:szCs w:val="25"/>
        </w:rPr>
        <w:t xml:space="preserve">B.N. </w:t>
      </w:r>
      <w:proofErr w:type="spellStart"/>
      <w:r w:rsidRPr="009D1AE7">
        <w:rPr>
          <w:rFonts w:ascii="Times New Roman" w:hAnsi="Times New Roman" w:cs="Times New Roman"/>
          <w:b/>
          <w:sz w:val="25"/>
          <w:szCs w:val="25"/>
        </w:rPr>
        <w:t>Kirpal</w:t>
      </w:r>
      <w:proofErr w:type="spellEnd"/>
      <w:r w:rsidRPr="009D1AE7">
        <w:rPr>
          <w:rFonts w:ascii="Times New Roman" w:hAnsi="Times New Roman" w:cs="Times New Roman"/>
          <w:b/>
          <w:sz w:val="25"/>
          <w:szCs w:val="25"/>
        </w:rPr>
        <w:t xml:space="preserve">, J. </w:t>
      </w:r>
    </w:p>
    <w:p w:rsidR="009D1AE7" w:rsidRDefault="009D1AE7" w:rsidP="009D1AE7">
      <w:pPr>
        <w:spacing w:after="0" w:line="240" w:lineRule="auto"/>
        <w:jc w:val="both"/>
        <w:rPr>
          <w:rFonts w:ascii="Times New Roman" w:hAnsi="Times New Roman" w:cs="Times New Roman"/>
          <w:sz w:val="25"/>
          <w:szCs w:val="25"/>
        </w:rPr>
      </w:pPr>
    </w:p>
    <w:p w:rsidR="00D20953" w:rsidRDefault="009D1AE7" w:rsidP="009D1AE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D20953" w:rsidRPr="009D1AE7">
        <w:rPr>
          <w:rFonts w:ascii="Times New Roman" w:hAnsi="Times New Roman" w:cs="Times New Roman"/>
          <w:sz w:val="25"/>
          <w:szCs w:val="25"/>
        </w:rPr>
        <w:t xml:space="preserve">The challenge in this appeal is to a cease and desist order passed by the Monopolies and Restrictive Trade Practices Commission (for short "the Commission) against the appellant herein. </w:t>
      </w:r>
    </w:p>
    <w:p w:rsidR="009D1AE7" w:rsidRPr="009D1AE7" w:rsidRDefault="009D1AE7" w:rsidP="009D1AE7">
      <w:pPr>
        <w:spacing w:after="0" w:line="240" w:lineRule="auto"/>
        <w:jc w:val="both"/>
        <w:rPr>
          <w:rFonts w:ascii="Times New Roman" w:hAnsi="Times New Roman" w:cs="Times New Roman"/>
          <w:sz w:val="25"/>
          <w:szCs w:val="25"/>
        </w:rPr>
      </w:pPr>
    </w:p>
    <w:p w:rsidR="00D20953"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t xml:space="preserve">2. It seems that certain complaints by erstwhile </w:t>
      </w:r>
      <w:proofErr w:type="spellStart"/>
      <w:r w:rsidRPr="009D1AE7">
        <w:rPr>
          <w:rFonts w:ascii="Times New Roman" w:hAnsi="Times New Roman" w:cs="Times New Roman"/>
          <w:sz w:val="25"/>
          <w:szCs w:val="25"/>
        </w:rPr>
        <w:t>stockists</w:t>
      </w:r>
      <w:proofErr w:type="spellEnd"/>
      <w:r w:rsidRPr="009D1AE7">
        <w:rPr>
          <w:rFonts w:ascii="Times New Roman" w:hAnsi="Times New Roman" w:cs="Times New Roman"/>
          <w:sz w:val="25"/>
          <w:szCs w:val="25"/>
        </w:rPr>
        <w:t xml:space="preserve"> of the appellant were received by the Commission. These </w:t>
      </w:r>
      <w:proofErr w:type="spellStart"/>
      <w:r w:rsidRPr="009D1AE7">
        <w:rPr>
          <w:rFonts w:ascii="Times New Roman" w:hAnsi="Times New Roman" w:cs="Times New Roman"/>
          <w:sz w:val="25"/>
          <w:szCs w:val="25"/>
        </w:rPr>
        <w:t>stockists</w:t>
      </w:r>
      <w:proofErr w:type="spellEnd"/>
      <w:r w:rsidRPr="009D1AE7">
        <w:rPr>
          <w:rFonts w:ascii="Times New Roman" w:hAnsi="Times New Roman" w:cs="Times New Roman"/>
          <w:sz w:val="25"/>
          <w:szCs w:val="25"/>
        </w:rPr>
        <w:t xml:space="preserve"> used to sell detergents, soaps, chemicals, etc., manufactured by the appellant and their grievance had arisen by reason of their agreements having been terminated by the appellant. </w:t>
      </w:r>
    </w:p>
    <w:p w:rsidR="009D1AE7" w:rsidRPr="009D1AE7" w:rsidRDefault="009D1AE7" w:rsidP="009D1AE7">
      <w:pPr>
        <w:spacing w:after="0" w:line="240" w:lineRule="auto"/>
        <w:jc w:val="both"/>
        <w:rPr>
          <w:rFonts w:ascii="Times New Roman" w:hAnsi="Times New Roman" w:cs="Times New Roman"/>
          <w:sz w:val="25"/>
          <w:szCs w:val="25"/>
        </w:rPr>
      </w:pPr>
    </w:p>
    <w:p w:rsidR="00D20953"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t xml:space="preserve">3. A preliminary inquiry was conducted by the Director General of Investigation &amp; Registration whereupon a Restrictive Trade Practices Inquiry Notice No. 48/1983 dated 28th of December, 1983 was issued to the appellant. This notice was issued by the Commission acting </w:t>
      </w:r>
      <w:proofErr w:type="spellStart"/>
      <w:r w:rsidRPr="009D1AE7">
        <w:rPr>
          <w:rFonts w:ascii="Times New Roman" w:hAnsi="Times New Roman" w:cs="Times New Roman"/>
          <w:i/>
          <w:iCs/>
          <w:sz w:val="25"/>
          <w:szCs w:val="25"/>
        </w:rPr>
        <w:t>suo</w:t>
      </w:r>
      <w:proofErr w:type="spellEnd"/>
      <w:r w:rsidRPr="009D1AE7">
        <w:rPr>
          <w:rFonts w:ascii="Times New Roman" w:hAnsi="Times New Roman" w:cs="Times New Roman"/>
          <w:i/>
          <w:iCs/>
          <w:sz w:val="25"/>
          <w:szCs w:val="25"/>
        </w:rPr>
        <w:t xml:space="preserve"> </w:t>
      </w:r>
      <w:proofErr w:type="spellStart"/>
      <w:r w:rsidRPr="009D1AE7">
        <w:rPr>
          <w:rFonts w:ascii="Times New Roman" w:hAnsi="Times New Roman" w:cs="Times New Roman"/>
          <w:i/>
          <w:iCs/>
          <w:sz w:val="25"/>
          <w:szCs w:val="25"/>
        </w:rPr>
        <w:t>motu</w:t>
      </w:r>
      <w:proofErr w:type="spellEnd"/>
      <w:r w:rsidRPr="009D1AE7">
        <w:rPr>
          <w:rFonts w:ascii="Times New Roman" w:hAnsi="Times New Roman" w:cs="Times New Roman"/>
          <w:sz w:val="25"/>
          <w:szCs w:val="25"/>
        </w:rPr>
        <w:t xml:space="preserve"> and in exercise of the powers coffered on it under Section 10(a</w:t>
      </w:r>
      <w:proofErr w:type="gramStart"/>
      <w:r w:rsidRPr="009D1AE7">
        <w:rPr>
          <w:rFonts w:ascii="Times New Roman" w:hAnsi="Times New Roman" w:cs="Times New Roman"/>
          <w:sz w:val="25"/>
          <w:szCs w:val="25"/>
        </w:rPr>
        <w:t>)(</w:t>
      </w:r>
      <w:proofErr w:type="gramEnd"/>
      <w:r w:rsidRPr="009D1AE7">
        <w:rPr>
          <w:rFonts w:ascii="Times New Roman" w:hAnsi="Times New Roman" w:cs="Times New Roman"/>
          <w:sz w:val="25"/>
          <w:szCs w:val="25"/>
        </w:rPr>
        <w:t xml:space="preserve">iv) and Section 37 of the </w:t>
      </w:r>
      <w:r w:rsidRPr="009D1AE7">
        <w:rPr>
          <w:rFonts w:ascii="Times New Roman" w:hAnsi="Times New Roman" w:cs="Times New Roman"/>
          <w:i/>
          <w:sz w:val="25"/>
          <w:szCs w:val="25"/>
        </w:rPr>
        <w:t xml:space="preserve">Monopolies and Restrictive Trade </w:t>
      </w:r>
      <w:proofErr w:type="spellStart"/>
      <w:r w:rsidRPr="009D1AE7">
        <w:rPr>
          <w:rFonts w:ascii="Times New Roman" w:hAnsi="Times New Roman" w:cs="Times New Roman"/>
          <w:i/>
          <w:sz w:val="25"/>
          <w:szCs w:val="25"/>
        </w:rPr>
        <w:t>Paractices</w:t>
      </w:r>
      <w:proofErr w:type="spellEnd"/>
      <w:r w:rsidRPr="009D1AE7">
        <w:rPr>
          <w:rFonts w:ascii="Times New Roman" w:hAnsi="Times New Roman" w:cs="Times New Roman"/>
          <w:i/>
          <w:sz w:val="25"/>
          <w:szCs w:val="25"/>
        </w:rPr>
        <w:t xml:space="preserve"> Act, 1969</w:t>
      </w:r>
      <w:r w:rsidRPr="009D1AE7">
        <w:rPr>
          <w:rFonts w:ascii="Times New Roman" w:hAnsi="Times New Roman" w:cs="Times New Roman"/>
          <w:sz w:val="25"/>
          <w:szCs w:val="25"/>
        </w:rPr>
        <w:t xml:space="preserve"> read with Regulation 58 of the Monopolies and Restrictive Trade Practices Commission Regulations, 1974. The relevant part of the said notice is as follows: </w:t>
      </w:r>
    </w:p>
    <w:p w:rsidR="009D1AE7" w:rsidRPr="009D1AE7" w:rsidRDefault="009D1AE7" w:rsidP="009D1AE7">
      <w:pPr>
        <w:spacing w:after="0" w:line="240" w:lineRule="auto"/>
        <w:jc w:val="both"/>
        <w:rPr>
          <w:rFonts w:ascii="Times New Roman" w:hAnsi="Times New Roman" w:cs="Times New Roman"/>
          <w:sz w:val="25"/>
          <w:szCs w:val="25"/>
        </w:rPr>
      </w:pPr>
    </w:p>
    <w:p w:rsidR="00D20953"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"Whereas the respondent above mentioned (M/s. Hindustan Lever Limited) is the manufacturer of detergents, detergent cakes, chemicals, bathing soaps, foods etc</w:t>
      </w:r>
      <w:proofErr w:type="gramStart"/>
      <w:r w:rsidRPr="009D1AE7">
        <w:rPr>
          <w:rFonts w:ascii="Times New Roman" w:hAnsi="Times New Roman" w:cs="Times New Roman"/>
          <w:sz w:val="25"/>
          <w:szCs w:val="25"/>
        </w:rPr>
        <w:t>.;</w:t>
      </w:r>
      <w:proofErr w:type="gramEnd"/>
      <w:r w:rsidRPr="009D1AE7">
        <w:rPr>
          <w:rFonts w:ascii="Times New Roman" w:hAnsi="Times New Roman" w:cs="Times New Roman"/>
          <w:sz w:val="25"/>
          <w:szCs w:val="25"/>
        </w:rPr>
        <w:t xml:space="preserve"> </w:t>
      </w:r>
    </w:p>
    <w:p w:rsidR="009D1AE7" w:rsidRPr="009D1AE7" w:rsidRDefault="009D1AE7" w:rsidP="009D1AE7">
      <w:pPr>
        <w:spacing w:after="0" w:line="240" w:lineRule="auto"/>
        <w:ind w:left="720"/>
        <w:jc w:val="both"/>
        <w:rPr>
          <w:rFonts w:ascii="Times New Roman" w:hAnsi="Times New Roman" w:cs="Times New Roman"/>
          <w:sz w:val="25"/>
          <w:szCs w:val="25"/>
        </w:rPr>
      </w:pPr>
    </w:p>
    <w:p w:rsidR="00D20953"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And whereas it has come to the notice of the Commission that the respondent has been indulging i</w:t>
      </w:r>
      <w:r w:rsidR="009D1AE7">
        <w:rPr>
          <w:rFonts w:ascii="Times New Roman" w:hAnsi="Times New Roman" w:cs="Times New Roman"/>
          <w:sz w:val="25"/>
          <w:szCs w:val="25"/>
        </w:rPr>
        <w:t>n the following trade practices</w:t>
      </w:r>
      <w:r w:rsidRPr="009D1AE7">
        <w:rPr>
          <w:rFonts w:ascii="Times New Roman" w:hAnsi="Times New Roman" w:cs="Times New Roman"/>
          <w:sz w:val="25"/>
          <w:szCs w:val="25"/>
        </w:rPr>
        <w:t xml:space="preserve">:- </w:t>
      </w:r>
    </w:p>
    <w:p w:rsidR="009D1AE7" w:rsidRP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i) Tie-up sales of soaps and detergents, manufactured by the Company which </w:t>
      </w:r>
      <w:proofErr w:type="gramStart"/>
      <w:r w:rsidRPr="009D1AE7">
        <w:rPr>
          <w:rFonts w:ascii="Times New Roman" w:hAnsi="Times New Roman" w:cs="Times New Roman"/>
          <w:sz w:val="25"/>
          <w:szCs w:val="25"/>
        </w:rPr>
        <w:t>are</w:t>
      </w:r>
      <w:proofErr w:type="gramEnd"/>
      <w:r w:rsidRPr="009D1AE7">
        <w:rPr>
          <w:rFonts w:ascii="Times New Roman" w:hAnsi="Times New Roman" w:cs="Times New Roman"/>
          <w:sz w:val="25"/>
          <w:szCs w:val="25"/>
        </w:rPr>
        <w:t xml:space="preserve"> in demand; </w:t>
      </w:r>
    </w:p>
    <w:p w:rsid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ii) Area restriction on re-distribution </w:t>
      </w:r>
      <w:proofErr w:type="spellStart"/>
      <w:r w:rsidRPr="009D1AE7">
        <w:rPr>
          <w:rFonts w:ascii="Times New Roman" w:hAnsi="Times New Roman" w:cs="Times New Roman"/>
          <w:sz w:val="25"/>
          <w:szCs w:val="25"/>
        </w:rPr>
        <w:t>stockists</w:t>
      </w:r>
      <w:proofErr w:type="spellEnd"/>
      <w:r w:rsidRPr="009D1AE7">
        <w:rPr>
          <w:rFonts w:ascii="Times New Roman" w:hAnsi="Times New Roman" w:cs="Times New Roman"/>
          <w:sz w:val="25"/>
          <w:szCs w:val="25"/>
        </w:rPr>
        <w:t xml:space="preserve">; </w:t>
      </w:r>
    </w:p>
    <w:p w:rsid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iii) Refusal Price Maintenance; </w:t>
      </w:r>
    </w:p>
    <w:p w:rsid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proofErr w:type="gramStart"/>
      <w:r w:rsidRPr="009D1AE7">
        <w:rPr>
          <w:rFonts w:ascii="Times New Roman" w:hAnsi="Times New Roman" w:cs="Times New Roman"/>
          <w:sz w:val="25"/>
          <w:szCs w:val="25"/>
        </w:rPr>
        <w:t>iv) Refusal</w:t>
      </w:r>
      <w:proofErr w:type="gramEnd"/>
      <w:r w:rsidRPr="009D1AE7">
        <w:rPr>
          <w:rFonts w:ascii="Times New Roman" w:hAnsi="Times New Roman" w:cs="Times New Roman"/>
          <w:sz w:val="25"/>
          <w:szCs w:val="25"/>
        </w:rPr>
        <w:t xml:space="preserve"> to deal or supply; </w:t>
      </w:r>
    </w:p>
    <w:p w:rsid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v) Obtaining interest free and discriminatory security deposits/advance from dealers; </w:t>
      </w:r>
    </w:p>
    <w:p w:rsid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proofErr w:type="gramStart"/>
      <w:r w:rsidRPr="009D1AE7">
        <w:rPr>
          <w:rFonts w:ascii="Times New Roman" w:hAnsi="Times New Roman" w:cs="Times New Roman"/>
          <w:sz w:val="25"/>
          <w:szCs w:val="25"/>
        </w:rPr>
        <w:t>vi) Discriminatory</w:t>
      </w:r>
      <w:proofErr w:type="gramEnd"/>
      <w:r w:rsidRPr="009D1AE7">
        <w:rPr>
          <w:rFonts w:ascii="Times New Roman" w:hAnsi="Times New Roman" w:cs="Times New Roman"/>
          <w:sz w:val="25"/>
          <w:szCs w:val="25"/>
        </w:rPr>
        <w:t xml:space="preserve"> dealing with Dealers; </w:t>
      </w:r>
    </w:p>
    <w:p w:rsid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And whereas it appears to the Commission that the said trade practices have or may have the effect of preventing distorting or restricting competition amongst the dealers and may have the effect of imposing unjustified costs or restrictions on the consumers; </w:t>
      </w:r>
    </w:p>
    <w:p w:rsid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And, therefore, in exercise of powers conferred upon it by Section 10(a)(iv) and Section 37 of the Monopolies and Restrictive Trade Practices Act, 1969, the Commission has ordered that an inquiry be instituted against the respondent above mentioned at its office at New Delhi to enquire into as to whether :- </w:t>
      </w:r>
    </w:p>
    <w:p w:rsid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a) The respondent above mentioned has been and/or is indulging in the trade practices as alleged; </w:t>
      </w:r>
    </w:p>
    <w:p w:rsid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b) </w:t>
      </w:r>
      <w:proofErr w:type="gramStart"/>
      <w:r w:rsidRPr="009D1AE7">
        <w:rPr>
          <w:rFonts w:ascii="Times New Roman" w:hAnsi="Times New Roman" w:cs="Times New Roman"/>
          <w:sz w:val="25"/>
          <w:szCs w:val="25"/>
        </w:rPr>
        <w:t>the</w:t>
      </w:r>
      <w:proofErr w:type="gramEnd"/>
      <w:r w:rsidRPr="009D1AE7">
        <w:rPr>
          <w:rFonts w:ascii="Times New Roman" w:hAnsi="Times New Roman" w:cs="Times New Roman"/>
          <w:sz w:val="25"/>
          <w:szCs w:val="25"/>
        </w:rPr>
        <w:t xml:space="preserve"> said trade practices have or may have the effect of preventing/distorting or restricting competition; </w:t>
      </w:r>
    </w:p>
    <w:p w:rsid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c) </w:t>
      </w:r>
      <w:proofErr w:type="gramStart"/>
      <w:r w:rsidRPr="009D1AE7">
        <w:rPr>
          <w:rFonts w:ascii="Times New Roman" w:hAnsi="Times New Roman" w:cs="Times New Roman"/>
          <w:sz w:val="25"/>
          <w:szCs w:val="25"/>
        </w:rPr>
        <w:t>the</w:t>
      </w:r>
      <w:proofErr w:type="gramEnd"/>
      <w:r w:rsidRPr="009D1AE7">
        <w:rPr>
          <w:rFonts w:ascii="Times New Roman" w:hAnsi="Times New Roman" w:cs="Times New Roman"/>
          <w:sz w:val="25"/>
          <w:szCs w:val="25"/>
        </w:rPr>
        <w:t xml:space="preserve"> said trade practices have or may have the effect of imposing unjustified costs of restrictions on the consumers; and </w:t>
      </w:r>
    </w:p>
    <w:p w:rsidR="009D1AE7" w:rsidRDefault="009D1AE7" w:rsidP="009D1AE7">
      <w:pPr>
        <w:spacing w:after="0" w:line="240" w:lineRule="auto"/>
        <w:ind w:left="720"/>
        <w:jc w:val="both"/>
        <w:rPr>
          <w:rFonts w:ascii="Times New Roman" w:hAnsi="Times New Roman" w:cs="Times New Roman"/>
          <w:sz w:val="25"/>
          <w:szCs w:val="25"/>
        </w:rPr>
      </w:pPr>
    </w:p>
    <w:p w:rsidR="00D20953"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d) </w:t>
      </w:r>
      <w:proofErr w:type="gramStart"/>
      <w:r w:rsidRPr="009D1AE7">
        <w:rPr>
          <w:rFonts w:ascii="Times New Roman" w:hAnsi="Times New Roman" w:cs="Times New Roman"/>
          <w:sz w:val="25"/>
          <w:szCs w:val="25"/>
        </w:rPr>
        <w:t>such</w:t>
      </w:r>
      <w:proofErr w:type="gramEnd"/>
      <w:r w:rsidRPr="009D1AE7">
        <w:rPr>
          <w:rFonts w:ascii="Times New Roman" w:hAnsi="Times New Roman" w:cs="Times New Roman"/>
          <w:sz w:val="25"/>
          <w:szCs w:val="25"/>
        </w:rPr>
        <w:t xml:space="preserve"> trade practices are prejudicial to public interest." </w:t>
      </w:r>
    </w:p>
    <w:p w:rsidR="009D1AE7" w:rsidRPr="009D1AE7" w:rsidRDefault="009D1AE7" w:rsidP="009D1AE7">
      <w:pPr>
        <w:spacing w:after="0" w:line="240" w:lineRule="auto"/>
        <w:ind w:left="720"/>
        <w:jc w:val="both"/>
        <w:rPr>
          <w:rFonts w:ascii="Times New Roman" w:hAnsi="Times New Roman" w:cs="Times New Roman"/>
          <w:sz w:val="25"/>
          <w:szCs w:val="25"/>
        </w:rPr>
      </w:pPr>
    </w:p>
    <w:p w:rsidR="00D20953"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t xml:space="preserve">4. The appellant was required to inform the Commission if it wished to be heard, failing which the Commission would </w:t>
      </w:r>
      <w:proofErr w:type="gramStart"/>
      <w:r w:rsidRPr="009D1AE7">
        <w:rPr>
          <w:rFonts w:ascii="Times New Roman" w:hAnsi="Times New Roman" w:cs="Times New Roman"/>
          <w:sz w:val="25"/>
          <w:szCs w:val="25"/>
        </w:rPr>
        <w:t>proceed</w:t>
      </w:r>
      <w:proofErr w:type="gramEnd"/>
      <w:r w:rsidRPr="009D1AE7">
        <w:rPr>
          <w:rFonts w:ascii="Times New Roman" w:hAnsi="Times New Roman" w:cs="Times New Roman"/>
          <w:sz w:val="25"/>
          <w:szCs w:val="25"/>
        </w:rPr>
        <w:t xml:space="preserve"> with the inquiry. The said notice does not indicate that any document or complaint or report was furnished to the appellant along with the said notice. According to the appellant, and there does not appear to be any serious dispute about it, it requested the Commission to supply to it the material or report on the basis of which the show cause notice had been issued. Along with an affidavit dated 8th October, 2000, the appellant has placed on record in this Court a document containing further and better particulars which were </w:t>
      </w:r>
      <w:proofErr w:type="spellStart"/>
      <w:r w:rsidRPr="009D1AE7">
        <w:rPr>
          <w:rFonts w:ascii="Times New Roman" w:hAnsi="Times New Roman" w:cs="Times New Roman"/>
          <w:sz w:val="25"/>
          <w:szCs w:val="25"/>
        </w:rPr>
        <w:t>suppled</w:t>
      </w:r>
      <w:proofErr w:type="spellEnd"/>
      <w:r w:rsidRPr="009D1AE7">
        <w:rPr>
          <w:rFonts w:ascii="Times New Roman" w:hAnsi="Times New Roman" w:cs="Times New Roman"/>
          <w:sz w:val="25"/>
          <w:szCs w:val="25"/>
        </w:rPr>
        <w:t xml:space="preserve"> to the appellant. </w:t>
      </w:r>
    </w:p>
    <w:p w:rsidR="009D1AE7" w:rsidRPr="009D1AE7" w:rsidRDefault="009D1AE7" w:rsidP="009D1AE7">
      <w:pPr>
        <w:spacing w:after="0" w:line="240" w:lineRule="auto"/>
        <w:jc w:val="both"/>
        <w:rPr>
          <w:rFonts w:ascii="Times New Roman" w:hAnsi="Times New Roman" w:cs="Times New Roman"/>
          <w:sz w:val="25"/>
          <w:szCs w:val="25"/>
        </w:rPr>
      </w:pPr>
    </w:p>
    <w:p w:rsidR="00D20953"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t xml:space="preserve">5. On the receipt of the said particulars, reply was filed by the appellant to the show-cause notice denying the allegations and the charge </w:t>
      </w:r>
      <w:proofErr w:type="spellStart"/>
      <w:r w:rsidRPr="009D1AE7">
        <w:rPr>
          <w:rFonts w:ascii="Times New Roman" w:hAnsi="Times New Roman" w:cs="Times New Roman"/>
          <w:sz w:val="25"/>
          <w:szCs w:val="25"/>
        </w:rPr>
        <w:t>levelled</w:t>
      </w:r>
      <w:proofErr w:type="spellEnd"/>
      <w:r w:rsidRPr="009D1AE7">
        <w:rPr>
          <w:rFonts w:ascii="Times New Roman" w:hAnsi="Times New Roman" w:cs="Times New Roman"/>
          <w:sz w:val="25"/>
          <w:szCs w:val="25"/>
        </w:rPr>
        <w:t xml:space="preserve"> against it. In particulars, it stated in the said reply that </w:t>
      </w:r>
      <w:proofErr w:type="spellStart"/>
      <w:proofErr w:type="gramStart"/>
      <w:r w:rsidRPr="009D1AE7">
        <w:rPr>
          <w:rFonts w:ascii="Times New Roman" w:hAnsi="Times New Roman" w:cs="Times New Roman"/>
          <w:sz w:val="25"/>
          <w:szCs w:val="25"/>
        </w:rPr>
        <w:t>thee</w:t>
      </w:r>
      <w:proofErr w:type="spellEnd"/>
      <w:proofErr w:type="gramEnd"/>
      <w:r w:rsidRPr="009D1AE7">
        <w:rPr>
          <w:rFonts w:ascii="Times New Roman" w:hAnsi="Times New Roman" w:cs="Times New Roman"/>
          <w:sz w:val="25"/>
          <w:szCs w:val="25"/>
        </w:rPr>
        <w:t xml:space="preserve"> had been a denial of principles of natural justice because all information and material which was available with the Commission on the basis of which the notice had been issued had not been furnished to the appellant. </w:t>
      </w:r>
    </w:p>
    <w:p w:rsidR="009D1AE7" w:rsidRPr="009D1AE7" w:rsidRDefault="009D1AE7" w:rsidP="009D1AE7">
      <w:pPr>
        <w:spacing w:after="0" w:line="240" w:lineRule="auto"/>
        <w:jc w:val="both"/>
        <w:rPr>
          <w:rFonts w:ascii="Times New Roman" w:hAnsi="Times New Roman" w:cs="Times New Roman"/>
          <w:sz w:val="25"/>
          <w:szCs w:val="25"/>
        </w:rPr>
      </w:pPr>
    </w:p>
    <w:p w:rsidR="00D20953"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lastRenderedPageBreak/>
        <w:t xml:space="preserve">6. Evidence was led, both oral and documentary, before the Commission on the following issues which had been framed: </w:t>
      </w:r>
    </w:p>
    <w:p w:rsidR="009D1AE7" w:rsidRP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w:t>
      </w:r>
      <w:proofErr w:type="gramStart"/>
      <w:r w:rsidRPr="009D1AE7">
        <w:rPr>
          <w:rFonts w:ascii="Times New Roman" w:hAnsi="Times New Roman" w:cs="Times New Roman"/>
          <w:sz w:val="25"/>
          <w:szCs w:val="25"/>
        </w:rPr>
        <w:t>i</w:t>
      </w:r>
      <w:proofErr w:type="gramEnd"/>
      <w:r w:rsidRPr="009D1AE7">
        <w:rPr>
          <w:rFonts w:ascii="Times New Roman" w:hAnsi="Times New Roman" w:cs="Times New Roman"/>
          <w:sz w:val="25"/>
          <w:szCs w:val="25"/>
        </w:rPr>
        <w:t xml:space="preserve">) Whether the enquiry is not maintainable for the grounds alleged by the respondent in their reply dated 28.5.1984 to the Notice of Enquiry dated 28th December, 1983; </w:t>
      </w:r>
    </w:p>
    <w:p w:rsid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ii) Whether the respondent has been indulging in the Trade Practices mentioned in the Notice of Inquiry dated 28th December, 1983; </w:t>
      </w:r>
    </w:p>
    <w:p w:rsidR="009D1AE7" w:rsidRDefault="009D1AE7" w:rsidP="009D1AE7">
      <w:pPr>
        <w:spacing w:after="0" w:line="240" w:lineRule="auto"/>
        <w:ind w:left="720"/>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iii) If the answer to Issue No. ii) is in the affirmative, then whether the said trade practices are Restrictive Trade Practices within the meaning of Section 2(o) of the MRTP Act, 1969; </w:t>
      </w:r>
    </w:p>
    <w:p w:rsidR="009D1AE7" w:rsidRDefault="009D1AE7" w:rsidP="009D1AE7">
      <w:pPr>
        <w:spacing w:after="0" w:line="240" w:lineRule="auto"/>
        <w:ind w:left="720"/>
        <w:jc w:val="both"/>
        <w:rPr>
          <w:rFonts w:ascii="Times New Roman" w:hAnsi="Times New Roman" w:cs="Times New Roman"/>
          <w:sz w:val="25"/>
          <w:szCs w:val="25"/>
        </w:rPr>
      </w:pPr>
    </w:p>
    <w:p w:rsidR="00D20953" w:rsidRDefault="00D20953" w:rsidP="009D1AE7">
      <w:pPr>
        <w:spacing w:after="0" w:line="240" w:lineRule="auto"/>
        <w:ind w:left="720"/>
        <w:jc w:val="both"/>
        <w:rPr>
          <w:rFonts w:ascii="Times New Roman" w:hAnsi="Times New Roman" w:cs="Times New Roman"/>
          <w:sz w:val="25"/>
          <w:szCs w:val="25"/>
        </w:rPr>
      </w:pPr>
      <w:proofErr w:type="gramStart"/>
      <w:r w:rsidRPr="009D1AE7">
        <w:rPr>
          <w:rFonts w:ascii="Times New Roman" w:hAnsi="Times New Roman" w:cs="Times New Roman"/>
          <w:sz w:val="25"/>
          <w:szCs w:val="25"/>
        </w:rPr>
        <w:t>iv) If</w:t>
      </w:r>
      <w:proofErr w:type="gramEnd"/>
      <w:r w:rsidRPr="009D1AE7">
        <w:rPr>
          <w:rFonts w:ascii="Times New Roman" w:hAnsi="Times New Roman" w:cs="Times New Roman"/>
          <w:sz w:val="25"/>
          <w:szCs w:val="25"/>
        </w:rPr>
        <w:t xml:space="preserve"> answer to Issue No. (iii) is in the affirmative, then whether the respondent is entitled to avail of the gateways provided under Section 38(1)(a)(b) and (h) read with the balancing clause;" </w:t>
      </w:r>
    </w:p>
    <w:p w:rsidR="009D1AE7" w:rsidRPr="009D1AE7" w:rsidRDefault="009D1AE7" w:rsidP="009D1AE7">
      <w:pPr>
        <w:spacing w:after="0" w:line="240" w:lineRule="auto"/>
        <w:jc w:val="both"/>
        <w:rPr>
          <w:rFonts w:ascii="Times New Roman" w:hAnsi="Times New Roman" w:cs="Times New Roman"/>
          <w:sz w:val="25"/>
          <w:szCs w:val="25"/>
        </w:rPr>
      </w:pPr>
    </w:p>
    <w:p w:rsidR="00D20953"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t xml:space="preserve">7. By order dated 4th August, 1987, the Commission held as follows: </w:t>
      </w:r>
    </w:p>
    <w:p w:rsidR="009D1AE7" w:rsidRPr="009D1AE7" w:rsidRDefault="009D1AE7" w:rsidP="009D1AE7">
      <w:pPr>
        <w:spacing w:after="0" w:line="240" w:lineRule="auto"/>
        <w:jc w:val="both"/>
        <w:rPr>
          <w:rFonts w:ascii="Times New Roman" w:hAnsi="Times New Roman" w:cs="Times New Roman"/>
          <w:sz w:val="25"/>
          <w:szCs w:val="25"/>
        </w:rPr>
      </w:pPr>
    </w:p>
    <w:p w:rsidR="00D20953"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"74. Having held that the respondent has been indulging in the restrictive trade practices of (1) tying up sales of its slow-moving with fast-moving products and dictating its RSs to purchase such goods and in such combination as the respondent may decide, and (2) terminating the </w:t>
      </w:r>
      <w:proofErr w:type="spellStart"/>
      <w:r w:rsidRPr="009D1AE7">
        <w:rPr>
          <w:rFonts w:ascii="Times New Roman" w:hAnsi="Times New Roman" w:cs="Times New Roman"/>
          <w:sz w:val="25"/>
          <w:szCs w:val="25"/>
        </w:rPr>
        <w:t>stockist</w:t>
      </w:r>
      <w:proofErr w:type="spellEnd"/>
      <w:r w:rsidRPr="009D1AE7">
        <w:rPr>
          <w:rFonts w:ascii="Times New Roman" w:hAnsi="Times New Roman" w:cs="Times New Roman"/>
          <w:sz w:val="25"/>
          <w:szCs w:val="25"/>
        </w:rPr>
        <w:t xml:space="preserve">-ship of its </w:t>
      </w:r>
      <w:proofErr w:type="spellStart"/>
      <w:r w:rsidRPr="009D1AE7">
        <w:rPr>
          <w:rFonts w:ascii="Times New Roman" w:hAnsi="Times New Roman" w:cs="Times New Roman"/>
          <w:sz w:val="25"/>
          <w:szCs w:val="25"/>
        </w:rPr>
        <w:t>stockists</w:t>
      </w:r>
      <w:proofErr w:type="spellEnd"/>
      <w:r w:rsidRPr="009D1AE7">
        <w:rPr>
          <w:rFonts w:ascii="Times New Roman" w:hAnsi="Times New Roman" w:cs="Times New Roman"/>
          <w:sz w:val="25"/>
          <w:szCs w:val="25"/>
        </w:rPr>
        <w:t xml:space="preserve"> resulting in refusal to deal with him, and having held that the presumption in regard to such restrictive trade practices being prejudicial to public interest has not been prejudicial to public interest has not been rebutted, we now proceed under Section 37(1) and direct the respondent that the aforesaid restrictive trade practices shall be discontinued and shall not be repeated. It logically follows that the respondent shall restore the </w:t>
      </w:r>
      <w:proofErr w:type="spellStart"/>
      <w:r w:rsidRPr="009D1AE7">
        <w:rPr>
          <w:rFonts w:ascii="Times New Roman" w:hAnsi="Times New Roman" w:cs="Times New Roman"/>
          <w:sz w:val="25"/>
          <w:szCs w:val="25"/>
        </w:rPr>
        <w:t>stockistship</w:t>
      </w:r>
      <w:proofErr w:type="spellEnd"/>
      <w:r w:rsidRPr="009D1AE7">
        <w:rPr>
          <w:rFonts w:ascii="Times New Roman" w:hAnsi="Times New Roman" w:cs="Times New Roman"/>
          <w:sz w:val="25"/>
          <w:szCs w:val="25"/>
        </w:rPr>
        <w:t xml:space="preserve"> of M/s. Jain General Stores, </w:t>
      </w:r>
      <w:proofErr w:type="spellStart"/>
      <w:r w:rsidRPr="009D1AE7">
        <w:rPr>
          <w:rFonts w:ascii="Times New Roman" w:hAnsi="Times New Roman" w:cs="Times New Roman"/>
          <w:sz w:val="25"/>
          <w:szCs w:val="25"/>
        </w:rPr>
        <w:t>Pulsudhar</w:t>
      </w:r>
      <w:proofErr w:type="spellEnd"/>
      <w:r w:rsidRPr="009D1AE7">
        <w:rPr>
          <w:rFonts w:ascii="Times New Roman" w:hAnsi="Times New Roman" w:cs="Times New Roman"/>
          <w:sz w:val="25"/>
          <w:szCs w:val="25"/>
        </w:rPr>
        <w:t xml:space="preserve">, the affected R.S. and resume dealings with him." </w:t>
      </w:r>
    </w:p>
    <w:p w:rsidR="009D1AE7" w:rsidRPr="009D1AE7" w:rsidRDefault="009D1AE7" w:rsidP="009D1AE7">
      <w:pPr>
        <w:spacing w:after="0" w:line="240" w:lineRule="auto"/>
        <w:jc w:val="both"/>
        <w:rPr>
          <w:rFonts w:ascii="Times New Roman" w:hAnsi="Times New Roman" w:cs="Times New Roman"/>
          <w:sz w:val="25"/>
          <w:szCs w:val="25"/>
        </w:rPr>
      </w:pPr>
    </w:p>
    <w:p w:rsidR="00D20953"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t xml:space="preserve">8. In the appeal which had been filed against the said decision of the Commission, it has been contended by the learned counsel for the appellant that the said order of the Commission was not justified. On the contrary, </w:t>
      </w:r>
      <w:proofErr w:type="spellStart"/>
      <w:r w:rsidRPr="009D1AE7">
        <w:rPr>
          <w:rFonts w:ascii="Times New Roman" w:hAnsi="Times New Roman" w:cs="Times New Roman"/>
          <w:sz w:val="25"/>
          <w:szCs w:val="25"/>
        </w:rPr>
        <w:t>Shri</w:t>
      </w:r>
      <w:proofErr w:type="spellEnd"/>
      <w:r w:rsidRPr="009D1AE7">
        <w:rPr>
          <w:rFonts w:ascii="Times New Roman" w:hAnsi="Times New Roman" w:cs="Times New Roman"/>
          <w:sz w:val="25"/>
          <w:szCs w:val="25"/>
        </w:rPr>
        <w:t xml:space="preserve"> N.N. </w:t>
      </w:r>
      <w:proofErr w:type="spellStart"/>
      <w:proofErr w:type="gramStart"/>
      <w:r w:rsidRPr="009D1AE7">
        <w:rPr>
          <w:rFonts w:ascii="Times New Roman" w:hAnsi="Times New Roman" w:cs="Times New Roman"/>
          <w:sz w:val="25"/>
          <w:szCs w:val="25"/>
        </w:rPr>
        <w:t>Goswami</w:t>
      </w:r>
      <w:proofErr w:type="spellEnd"/>
      <w:r w:rsidRPr="009D1AE7">
        <w:rPr>
          <w:rFonts w:ascii="Times New Roman" w:hAnsi="Times New Roman" w:cs="Times New Roman"/>
          <w:sz w:val="25"/>
          <w:szCs w:val="25"/>
        </w:rPr>
        <w:t>,</w:t>
      </w:r>
      <w:proofErr w:type="gramEnd"/>
      <w:r w:rsidRPr="009D1AE7">
        <w:rPr>
          <w:rFonts w:ascii="Times New Roman" w:hAnsi="Times New Roman" w:cs="Times New Roman"/>
          <w:sz w:val="25"/>
          <w:szCs w:val="25"/>
        </w:rPr>
        <w:t xml:space="preserve"> learned senior Counsel for the Commission and </w:t>
      </w:r>
      <w:proofErr w:type="spellStart"/>
      <w:r w:rsidRPr="009D1AE7">
        <w:rPr>
          <w:rFonts w:ascii="Times New Roman" w:hAnsi="Times New Roman" w:cs="Times New Roman"/>
          <w:sz w:val="25"/>
          <w:szCs w:val="25"/>
        </w:rPr>
        <w:t>Shri</w:t>
      </w:r>
      <w:proofErr w:type="spellEnd"/>
      <w:r w:rsidRPr="009D1AE7">
        <w:rPr>
          <w:rFonts w:ascii="Times New Roman" w:hAnsi="Times New Roman" w:cs="Times New Roman"/>
          <w:sz w:val="25"/>
          <w:szCs w:val="25"/>
        </w:rPr>
        <w:t xml:space="preserve"> Sanjay Parikh appearing for M/s. Jain General Stores contended that on the facts found by the Commission the order was justified and no question of law really arises for consideration by this Court. </w:t>
      </w:r>
    </w:p>
    <w:p w:rsidR="009D1AE7" w:rsidRPr="009D1AE7" w:rsidRDefault="009D1AE7" w:rsidP="009D1AE7">
      <w:pPr>
        <w:spacing w:after="0" w:line="240" w:lineRule="auto"/>
        <w:jc w:val="both"/>
        <w:rPr>
          <w:rFonts w:ascii="Times New Roman" w:hAnsi="Times New Roman" w:cs="Times New Roman"/>
          <w:sz w:val="25"/>
          <w:szCs w:val="25"/>
        </w:rPr>
      </w:pPr>
    </w:p>
    <w:p w:rsidR="00D20953" w:rsidRPr="009D1AE7"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t xml:space="preserve">9. As we have indicated hereinabove, there were two reasons given by the Commission for passing the order against the appellant. The show-cause notice mentions the trade practices which were alleged to have been followed by the appellant like tie-up sales of soaps and detergents, refusal to deal or supply, etc., and then alleges that these trade practices appeared to the Commission to have or may have the effect of preventing, distorting or restricting competition amongst the dealers and may have the effect of imposing unjustified costs or restrictions on the consumers. </w:t>
      </w:r>
    </w:p>
    <w:p w:rsidR="00D20953"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lastRenderedPageBreak/>
        <w:t xml:space="preserve">10. The aforesaid charge has been formulated in terms of the definition of "restrictive trade practice" occurring in Section 2(o) of the M.R.T.P. Act which, at the relevant time, was as </w:t>
      </w:r>
      <w:proofErr w:type="gramStart"/>
      <w:r w:rsidRPr="009D1AE7">
        <w:rPr>
          <w:rFonts w:ascii="Times New Roman" w:hAnsi="Times New Roman" w:cs="Times New Roman"/>
          <w:sz w:val="25"/>
          <w:szCs w:val="25"/>
        </w:rPr>
        <w:t>under :</w:t>
      </w:r>
      <w:proofErr w:type="gramEnd"/>
      <w:r w:rsidRPr="009D1AE7">
        <w:rPr>
          <w:rFonts w:ascii="Times New Roman" w:hAnsi="Times New Roman" w:cs="Times New Roman"/>
          <w:sz w:val="25"/>
          <w:szCs w:val="25"/>
        </w:rPr>
        <w:t xml:space="preserve"> </w:t>
      </w:r>
    </w:p>
    <w:p w:rsidR="009D1AE7" w:rsidRPr="009D1AE7" w:rsidRDefault="009D1AE7" w:rsidP="009D1AE7">
      <w:pPr>
        <w:spacing w:after="0" w:line="240" w:lineRule="auto"/>
        <w:jc w:val="both"/>
        <w:rPr>
          <w:rFonts w:ascii="Times New Roman" w:hAnsi="Times New Roman" w:cs="Times New Roman"/>
          <w:sz w:val="25"/>
          <w:szCs w:val="25"/>
        </w:rPr>
      </w:pP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"(o) "restrictive trade practice" means a trade practice which has, or may have, the effect of preventing, distorting or restricting competition in any manner and in particular, - </w:t>
      </w:r>
    </w:p>
    <w:p w:rsidR="00D20953" w:rsidRPr="009D1AE7"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(i) </w:t>
      </w:r>
      <w:proofErr w:type="gramStart"/>
      <w:r w:rsidRPr="009D1AE7">
        <w:rPr>
          <w:rFonts w:ascii="Times New Roman" w:hAnsi="Times New Roman" w:cs="Times New Roman"/>
          <w:sz w:val="25"/>
          <w:szCs w:val="25"/>
        </w:rPr>
        <w:t>which</w:t>
      </w:r>
      <w:proofErr w:type="gramEnd"/>
      <w:r w:rsidRPr="009D1AE7">
        <w:rPr>
          <w:rFonts w:ascii="Times New Roman" w:hAnsi="Times New Roman" w:cs="Times New Roman"/>
          <w:sz w:val="25"/>
          <w:szCs w:val="25"/>
        </w:rPr>
        <w:t xml:space="preserve"> tends to obstruct the flow of capital or resources into the stream of production, or </w:t>
      </w:r>
    </w:p>
    <w:p w:rsidR="00D20953"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t xml:space="preserve">(ii) which tends to bring about manipulation of prices, or conditions of delivery or to effect the flow of supplies in the market relating to goods or services in such manner as to impose on the consumers unjustified costs or restrictions;" </w:t>
      </w:r>
    </w:p>
    <w:p w:rsidR="009D1AE7" w:rsidRPr="009D1AE7" w:rsidRDefault="009D1AE7" w:rsidP="009D1AE7">
      <w:pPr>
        <w:spacing w:after="0" w:line="240" w:lineRule="auto"/>
        <w:jc w:val="both"/>
        <w:rPr>
          <w:rFonts w:ascii="Times New Roman" w:hAnsi="Times New Roman" w:cs="Times New Roman"/>
          <w:sz w:val="25"/>
          <w:szCs w:val="25"/>
        </w:rPr>
      </w:pPr>
    </w:p>
    <w:p w:rsidR="00D20953"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t xml:space="preserve">11. As the plain reading of the said definition itself disclosure, and also as rightly understood by the </w:t>
      </w:r>
      <w:proofErr w:type="spellStart"/>
      <w:r w:rsidRPr="009D1AE7">
        <w:rPr>
          <w:rFonts w:ascii="Times New Roman" w:hAnsi="Times New Roman" w:cs="Times New Roman"/>
          <w:sz w:val="25"/>
          <w:szCs w:val="25"/>
        </w:rPr>
        <w:t>Commisison</w:t>
      </w:r>
      <w:proofErr w:type="spellEnd"/>
      <w:r w:rsidRPr="009D1AE7">
        <w:rPr>
          <w:rFonts w:ascii="Times New Roman" w:hAnsi="Times New Roman" w:cs="Times New Roman"/>
          <w:sz w:val="25"/>
          <w:szCs w:val="25"/>
        </w:rPr>
        <w:t xml:space="preserve"> in issuing the notice, there are two parts to the definition - one is which relates to carrying on of such trade practice which has or may have the effect of preventing, distorting or restricting competition in any manner and secondly the carrying on of such trade practice which </w:t>
      </w:r>
      <w:r w:rsidRPr="009D1AE7">
        <w:rPr>
          <w:rFonts w:ascii="Times New Roman" w:hAnsi="Times New Roman" w:cs="Times New Roman"/>
          <w:i/>
          <w:iCs/>
          <w:sz w:val="25"/>
          <w:szCs w:val="25"/>
        </w:rPr>
        <w:t>inter alia</w:t>
      </w:r>
      <w:r w:rsidRPr="009D1AE7">
        <w:rPr>
          <w:rFonts w:ascii="Times New Roman" w:hAnsi="Times New Roman" w:cs="Times New Roman"/>
          <w:sz w:val="25"/>
          <w:szCs w:val="25"/>
        </w:rPr>
        <w:t xml:space="preserve"> has the effect of imposing unjustified costs or restrictions on the consumers. </w:t>
      </w:r>
    </w:p>
    <w:p w:rsidR="009D1AE7" w:rsidRPr="009D1AE7" w:rsidRDefault="009D1AE7" w:rsidP="009D1AE7">
      <w:pPr>
        <w:spacing w:after="0" w:line="240" w:lineRule="auto"/>
        <w:jc w:val="both"/>
        <w:rPr>
          <w:rFonts w:ascii="Times New Roman" w:hAnsi="Times New Roman" w:cs="Times New Roman"/>
          <w:sz w:val="25"/>
          <w:szCs w:val="25"/>
        </w:rPr>
      </w:pPr>
    </w:p>
    <w:p w:rsidR="00D20953"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t xml:space="preserve">12. The charge which the appellant was called upon to meet was that its trade practices resulted in preventing, distorting or restricting competition amongst the dealers and may have the effect of imposing unjustified costs or restrictions on the consumers. Even though oral evidence had been led, the order of the Commission does not record any categorical finding to the effect that the trade practices alleged to have been carried on by the appellant had resulted in preventing, distorting or restricting competition amongst the dealers. We need not go into the question whether terminating the agreements of the dealers would result in the attraction of the provisions of Section 2(o), but what we have to see is as to whether the appellant has been guilty of preventing, distorting and restricting competition amongst the dealers which was the allegation </w:t>
      </w:r>
      <w:proofErr w:type="spellStart"/>
      <w:r w:rsidRPr="009D1AE7">
        <w:rPr>
          <w:rFonts w:ascii="Times New Roman" w:hAnsi="Times New Roman" w:cs="Times New Roman"/>
          <w:sz w:val="25"/>
          <w:szCs w:val="25"/>
        </w:rPr>
        <w:t>levelled</w:t>
      </w:r>
      <w:proofErr w:type="spellEnd"/>
      <w:r w:rsidRPr="009D1AE7">
        <w:rPr>
          <w:rFonts w:ascii="Times New Roman" w:hAnsi="Times New Roman" w:cs="Times New Roman"/>
          <w:sz w:val="25"/>
          <w:szCs w:val="25"/>
        </w:rPr>
        <w:t xml:space="preserve"> against it. In the absence of such a finding and there not being even a whisper in the order that any action of the appellant had the effect of imposing unjustified costs or restrictions on the consumers, the Commission fell in error in passing the order against the appellant. </w:t>
      </w:r>
    </w:p>
    <w:p w:rsidR="009D1AE7" w:rsidRPr="009D1AE7" w:rsidRDefault="009D1AE7" w:rsidP="009D1AE7">
      <w:pPr>
        <w:spacing w:after="0" w:line="240" w:lineRule="auto"/>
        <w:jc w:val="both"/>
        <w:rPr>
          <w:rFonts w:ascii="Times New Roman" w:hAnsi="Times New Roman" w:cs="Times New Roman"/>
          <w:sz w:val="25"/>
          <w:szCs w:val="25"/>
        </w:rPr>
      </w:pPr>
    </w:p>
    <w:p w:rsidR="00D20953" w:rsidRPr="009D1AE7"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t xml:space="preserve">13. Furthermore, we find that neither in the show-cause notice nor in the additional particulars which were supplied to the appellant was there may mention of termination by the appellant of its </w:t>
      </w:r>
      <w:proofErr w:type="spellStart"/>
      <w:r w:rsidRPr="009D1AE7">
        <w:rPr>
          <w:rFonts w:ascii="Times New Roman" w:hAnsi="Times New Roman" w:cs="Times New Roman"/>
          <w:sz w:val="25"/>
          <w:szCs w:val="25"/>
        </w:rPr>
        <w:t>stockist's</w:t>
      </w:r>
      <w:proofErr w:type="spellEnd"/>
      <w:r w:rsidRPr="009D1AE7">
        <w:rPr>
          <w:rFonts w:ascii="Times New Roman" w:hAnsi="Times New Roman" w:cs="Times New Roman"/>
          <w:sz w:val="25"/>
          <w:szCs w:val="25"/>
        </w:rPr>
        <w:t xml:space="preserve"> agreement with Jain General Stores. The appellant was not, therefore, called upon a meet any allegation in connection therewith. The particulars which were supplied to the appellant did </w:t>
      </w:r>
      <w:r w:rsidRPr="009D1AE7">
        <w:rPr>
          <w:rFonts w:ascii="Times New Roman" w:hAnsi="Times New Roman" w:cs="Times New Roman"/>
          <w:i/>
          <w:iCs/>
          <w:sz w:val="25"/>
          <w:szCs w:val="25"/>
        </w:rPr>
        <w:t>inter alia</w:t>
      </w:r>
      <w:r w:rsidRPr="009D1AE7">
        <w:rPr>
          <w:rFonts w:ascii="Times New Roman" w:hAnsi="Times New Roman" w:cs="Times New Roman"/>
          <w:sz w:val="25"/>
          <w:szCs w:val="25"/>
        </w:rPr>
        <w:t xml:space="preserve"> relate to termination of other </w:t>
      </w:r>
      <w:proofErr w:type="spellStart"/>
      <w:r w:rsidRPr="009D1AE7">
        <w:rPr>
          <w:rFonts w:ascii="Times New Roman" w:hAnsi="Times New Roman" w:cs="Times New Roman"/>
          <w:sz w:val="25"/>
          <w:szCs w:val="25"/>
        </w:rPr>
        <w:t>stockist's</w:t>
      </w:r>
      <w:proofErr w:type="spellEnd"/>
      <w:r w:rsidRPr="009D1AE7">
        <w:rPr>
          <w:rFonts w:ascii="Times New Roman" w:hAnsi="Times New Roman" w:cs="Times New Roman"/>
          <w:sz w:val="25"/>
          <w:szCs w:val="25"/>
        </w:rPr>
        <w:t xml:space="preserve"> agreements including that of M/s. </w:t>
      </w:r>
      <w:proofErr w:type="spellStart"/>
      <w:r w:rsidRPr="009D1AE7">
        <w:rPr>
          <w:rFonts w:ascii="Times New Roman" w:hAnsi="Times New Roman" w:cs="Times New Roman"/>
          <w:sz w:val="25"/>
          <w:szCs w:val="25"/>
        </w:rPr>
        <w:t>Hiralal</w:t>
      </w:r>
      <w:proofErr w:type="spellEnd"/>
      <w:r w:rsidRPr="009D1AE7">
        <w:rPr>
          <w:rFonts w:ascii="Times New Roman" w:hAnsi="Times New Roman" w:cs="Times New Roman"/>
          <w:sz w:val="25"/>
          <w:szCs w:val="25"/>
        </w:rPr>
        <w:t xml:space="preserve"> Bajaj and Sons. It is with respect to them that in the reply filed by the appellant it gave reasons for the termination of the agreements and the Commission came to the conclusion that the termination of agreement with said </w:t>
      </w:r>
      <w:proofErr w:type="spellStart"/>
      <w:r w:rsidRPr="009D1AE7">
        <w:rPr>
          <w:rFonts w:ascii="Times New Roman" w:hAnsi="Times New Roman" w:cs="Times New Roman"/>
          <w:sz w:val="25"/>
          <w:szCs w:val="25"/>
        </w:rPr>
        <w:t>Bajajs</w:t>
      </w:r>
      <w:proofErr w:type="spellEnd"/>
      <w:r w:rsidRPr="009D1AE7">
        <w:rPr>
          <w:rFonts w:ascii="Times New Roman" w:hAnsi="Times New Roman" w:cs="Times New Roman"/>
          <w:sz w:val="25"/>
          <w:szCs w:val="25"/>
        </w:rPr>
        <w:t xml:space="preserve"> was justified. It, however, found that the agreement of Jain General Stores was wrongly terminated and in respect thereof it observed as follows: </w:t>
      </w:r>
    </w:p>
    <w:p w:rsidR="00D20953" w:rsidRDefault="00D20953" w:rsidP="009D1AE7">
      <w:pPr>
        <w:spacing w:after="0" w:line="240" w:lineRule="auto"/>
        <w:ind w:left="720"/>
        <w:jc w:val="both"/>
        <w:rPr>
          <w:rFonts w:ascii="Times New Roman" w:hAnsi="Times New Roman" w:cs="Times New Roman"/>
          <w:sz w:val="25"/>
          <w:szCs w:val="25"/>
        </w:rPr>
      </w:pPr>
      <w:r w:rsidRPr="009D1AE7">
        <w:rPr>
          <w:rFonts w:ascii="Times New Roman" w:hAnsi="Times New Roman" w:cs="Times New Roman"/>
          <w:sz w:val="25"/>
          <w:szCs w:val="25"/>
        </w:rPr>
        <w:lastRenderedPageBreak/>
        <w:t xml:space="preserve">"58. In the context of the facts of the case of this RS we think that even if the respondent did carry its scheme of </w:t>
      </w:r>
      <w:proofErr w:type="spellStart"/>
      <w:r w:rsidRPr="009D1AE7">
        <w:rPr>
          <w:rFonts w:ascii="Times New Roman" w:hAnsi="Times New Roman" w:cs="Times New Roman"/>
          <w:sz w:val="25"/>
          <w:szCs w:val="25"/>
        </w:rPr>
        <w:t>rationalisation</w:t>
      </w:r>
      <w:proofErr w:type="spellEnd"/>
      <w:r w:rsidRPr="009D1AE7">
        <w:rPr>
          <w:rFonts w:ascii="Times New Roman" w:hAnsi="Times New Roman" w:cs="Times New Roman"/>
          <w:sz w:val="25"/>
          <w:szCs w:val="25"/>
        </w:rPr>
        <w:t xml:space="preserve"> of distribution system to reduce uneconomic outlets, there is preponderance of probability that he was protesting </w:t>
      </w:r>
      <w:proofErr w:type="spellStart"/>
      <w:r w:rsidRPr="009D1AE7">
        <w:rPr>
          <w:rFonts w:ascii="Times New Roman" w:hAnsi="Times New Roman" w:cs="Times New Roman"/>
          <w:sz w:val="25"/>
          <w:szCs w:val="25"/>
        </w:rPr>
        <w:t>agasint</w:t>
      </w:r>
      <w:proofErr w:type="spellEnd"/>
      <w:r w:rsidRPr="009D1AE7">
        <w:rPr>
          <w:rFonts w:ascii="Times New Roman" w:hAnsi="Times New Roman" w:cs="Times New Roman"/>
          <w:sz w:val="25"/>
          <w:szCs w:val="25"/>
        </w:rPr>
        <w:t xml:space="preserve"> the respondent's practice of sending more slow moving goods and less of fact moving goods. We, concerned, the respondent's refusal to deal with him was a restrictive trade practice." </w:t>
      </w:r>
    </w:p>
    <w:p w:rsidR="009D1AE7" w:rsidRPr="009D1AE7" w:rsidRDefault="009D1AE7" w:rsidP="009D1AE7">
      <w:pPr>
        <w:spacing w:after="0" w:line="240" w:lineRule="auto"/>
        <w:jc w:val="both"/>
        <w:rPr>
          <w:rFonts w:ascii="Times New Roman" w:hAnsi="Times New Roman" w:cs="Times New Roman"/>
          <w:sz w:val="25"/>
          <w:szCs w:val="25"/>
        </w:rPr>
      </w:pPr>
    </w:p>
    <w:p w:rsidR="00D20953"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t xml:space="preserve">14. Apart from the fact that the evidence on record does not show that there was any protest by Jain General Stores to the appellant against the so-called practice of sending more slow moving goods and less of fast moving goods, we find that neither in the show cause notice nor in the additional particulars was there any mention with regard to Jain General Stores. Principles of natural justice would require that the appellant against whom an order of cease and desist could be passed under the provisions of the M.R.T.P. Act is entitled to know the case which it has to meet. Passing of an order like the present one </w:t>
      </w:r>
      <w:proofErr w:type="gramStart"/>
      <w:r w:rsidRPr="009D1AE7">
        <w:rPr>
          <w:rFonts w:ascii="Times New Roman" w:hAnsi="Times New Roman" w:cs="Times New Roman"/>
          <w:sz w:val="25"/>
          <w:szCs w:val="25"/>
        </w:rPr>
        <w:t>results</w:t>
      </w:r>
      <w:proofErr w:type="gramEnd"/>
      <w:r w:rsidRPr="009D1AE7">
        <w:rPr>
          <w:rFonts w:ascii="Times New Roman" w:hAnsi="Times New Roman" w:cs="Times New Roman"/>
          <w:sz w:val="25"/>
          <w:szCs w:val="25"/>
        </w:rPr>
        <w:t xml:space="preserve"> in civil consequences and it is now well settled that in such an event principles of natural justice have to be followed. It is for this reason that the Act and the Regulations required a notice to show-cause to be issued. We would expect that the notice which is issued either itself must provide or an accompanying or subsequent document must indicate to the person to whom notice is served the case which is required to be met. It does appear that there was a complaint by Jain General Stores which had been filed with the Commission and if the Commission wanted to take that allegation/complaint into consideration, then the least which could have been expected was that the appellant should have been put to notice thereof. This was not done. On this ground alone, therefore, no order could be passed against the appellant in relation to the termination of its agreement with Jain General Stores. </w:t>
      </w:r>
    </w:p>
    <w:p w:rsidR="009D1AE7" w:rsidRPr="009D1AE7" w:rsidRDefault="009D1AE7" w:rsidP="009D1AE7">
      <w:pPr>
        <w:spacing w:after="0" w:line="240" w:lineRule="auto"/>
        <w:jc w:val="both"/>
        <w:rPr>
          <w:rFonts w:ascii="Times New Roman" w:hAnsi="Times New Roman" w:cs="Times New Roman"/>
          <w:sz w:val="25"/>
          <w:szCs w:val="25"/>
        </w:rPr>
      </w:pPr>
    </w:p>
    <w:p w:rsidR="00D20953" w:rsidRPr="009D1AE7" w:rsidRDefault="00D20953" w:rsidP="009D1AE7">
      <w:pPr>
        <w:spacing w:after="0" w:line="240" w:lineRule="auto"/>
        <w:jc w:val="both"/>
        <w:rPr>
          <w:rFonts w:ascii="Times New Roman" w:hAnsi="Times New Roman" w:cs="Times New Roman"/>
          <w:sz w:val="25"/>
          <w:szCs w:val="25"/>
        </w:rPr>
      </w:pPr>
      <w:r w:rsidRPr="009D1AE7">
        <w:rPr>
          <w:rFonts w:ascii="Times New Roman" w:hAnsi="Times New Roman" w:cs="Times New Roman"/>
          <w:sz w:val="25"/>
          <w:szCs w:val="25"/>
        </w:rPr>
        <w:t xml:space="preserve">15. For the aforesaid reasons, we are of the opinion that the order of the Commission is contrary to law. We, accordingly, allow this appeal and set aside the said order. </w:t>
      </w:r>
    </w:p>
    <w:p w:rsidR="00D20953" w:rsidRPr="009D1AE7" w:rsidRDefault="00D20953" w:rsidP="009D1AE7">
      <w:pPr>
        <w:spacing w:after="0" w:line="240" w:lineRule="auto"/>
        <w:jc w:val="both"/>
        <w:rPr>
          <w:rFonts w:ascii="Times New Roman" w:hAnsi="Times New Roman" w:cs="Times New Roman"/>
          <w:sz w:val="25"/>
          <w:szCs w:val="25"/>
        </w:rPr>
      </w:pPr>
      <w:proofErr w:type="gramStart"/>
      <w:r w:rsidRPr="009D1AE7">
        <w:rPr>
          <w:rFonts w:ascii="Times New Roman" w:hAnsi="Times New Roman" w:cs="Times New Roman"/>
          <w:sz w:val="25"/>
          <w:szCs w:val="25"/>
        </w:rPr>
        <w:t>Parties to bear their own costs.</w:t>
      </w:r>
      <w:proofErr w:type="gramEnd"/>
      <w:r w:rsidRPr="009D1AE7">
        <w:rPr>
          <w:rFonts w:ascii="Times New Roman" w:hAnsi="Times New Roman" w:cs="Times New Roman"/>
          <w:sz w:val="25"/>
          <w:szCs w:val="25"/>
        </w:rPr>
        <w:t xml:space="preserve"> </w:t>
      </w:r>
    </w:p>
    <w:p w:rsidR="00DB43DF" w:rsidRPr="009D1AE7" w:rsidRDefault="001A6433" w:rsidP="009D1AE7">
      <w:pPr>
        <w:spacing w:after="0" w:line="240" w:lineRule="auto"/>
        <w:jc w:val="both"/>
        <w:rPr>
          <w:rFonts w:ascii="Times New Roman" w:hAnsi="Times New Roman" w:cs="Times New Roman"/>
          <w:sz w:val="25"/>
          <w:szCs w:val="25"/>
        </w:rPr>
      </w:pPr>
    </w:p>
    <w:sectPr w:rsidR="00DB43DF" w:rsidRPr="009D1A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433" w:rsidRDefault="001A6433" w:rsidP="00DA0365">
      <w:pPr>
        <w:spacing w:after="0" w:line="240" w:lineRule="auto"/>
      </w:pPr>
      <w:r>
        <w:separator/>
      </w:r>
    </w:p>
  </w:endnote>
  <w:endnote w:type="continuationSeparator" w:id="0">
    <w:p w:rsidR="001A6433" w:rsidRDefault="001A64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1A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433" w:rsidRDefault="001A6433" w:rsidP="00DA0365">
      <w:pPr>
        <w:spacing w:after="0" w:line="240" w:lineRule="auto"/>
      </w:pPr>
      <w:r>
        <w:separator/>
      </w:r>
    </w:p>
  </w:footnote>
  <w:footnote w:type="continuationSeparator" w:id="0">
    <w:p w:rsidR="001A6433" w:rsidRDefault="001A643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05A4"/>
    <w:rsid w:val="001A6433"/>
    <w:rsid w:val="005C7F20"/>
    <w:rsid w:val="008D320C"/>
    <w:rsid w:val="009D1AE7"/>
    <w:rsid w:val="00D2095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09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1A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209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D1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558656">
      <w:bodyDiv w:val="1"/>
      <w:marLeft w:val="0"/>
      <w:marRight w:val="0"/>
      <w:marTop w:val="0"/>
      <w:marBottom w:val="0"/>
      <w:divBdr>
        <w:top w:val="none" w:sz="0" w:space="0" w:color="auto"/>
        <w:left w:val="none" w:sz="0" w:space="0" w:color="auto"/>
        <w:bottom w:val="none" w:sz="0" w:space="0" w:color="auto"/>
        <w:right w:val="none" w:sz="0" w:space="0" w:color="auto"/>
      </w:divBdr>
      <w:divsChild>
        <w:div w:id="196314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1824</Words>
  <Characters>10401</Characters>
  <Application>Microsoft Office Word</Application>
  <DocSecurity>0</DocSecurity>
  <Lines>86</Lines>
  <Paragraphs>24</Paragraphs>
  <ScaleCrop>false</ScaleCrop>
  <Company/>
  <LinksUpToDate>false</LinksUpToDate>
  <CharactersWithSpaces>12201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2016-04-03T21:06:00Z</dcterms:modified>
</cp:coreProperties>
</file>