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5F" w:rsidRPr="00FE2F58" w:rsidRDefault="0061485F" w:rsidP="00FE2F58">
      <w:pPr>
        <w:spacing w:after="0" w:line="240" w:lineRule="auto"/>
        <w:jc w:val="center"/>
        <w:rPr>
          <w:rFonts w:ascii="Times New Roman" w:eastAsia="Times New Roman" w:hAnsi="Times New Roman" w:cs="Times New Roman"/>
          <w:sz w:val="25"/>
          <w:szCs w:val="25"/>
        </w:rPr>
      </w:pPr>
      <w:bookmarkStart w:id="0" w:name="_GoBack"/>
      <w:bookmarkEnd w:id="0"/>
      <w:r w:rsidRPr="00FE2F58">
        <w:rPr>
          <w:rFonts w:ascii="Times New Roman" w:eastAsia="Times New Roman" w:hAnsi="Times New Roman" w:cs="Times New Roman"/>
          <w:b/>
          <w:bCs/>
          <w:sz w:val="25"/>
          <w:szCs w:val="25"/>
        </w:rPr>
        <w:t>SUPREME COURT OF INDIA</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Tata Consultancy Services</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Vs.</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proofErr w:type="gramStart"/>
      <w:r w:rsidRPr="00FE2F58">
        <w:rPr>
          <w:rFonts w:ascii="Times New Roman" w:eastAsia="Times New Roman" w:hAnsi="Times New Roman" w:cs="Times New Roman"/>
          <w:sz w:val="25"/>
          <w:szCs w:val="25"/>
        </w:rPr>
        <w:t>State of A.P.</w:t>
      </w:r>
      <w:proofErr w:type="gramEnd"/>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C.A.No.2582 of 1998</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proofErr w:type="gramStart"/>
      <w:r w:rsidRPr="00FE2F58">
        <w:rPr>
          <w:rFonts w:ascii="Times New Roman" w:eastAsia="Times New Roman" w:hAnsi="Times New Roman" w:cs="Times New Roman"/>
          <w:sz w:val="25"/>
          <w:szCs w:val="25"/>
        </w:rPr>
        <w:t xml:space="preserve">(S R </w:t>
      </w:r>
      <w:proofErr w:type="spellStart"/>
      <w:r w:rsidRPr="00FE2F58">
        <w:rPr>
          <w:rFonts w:ascii="Times New Roman" w:eastAsia="Times New Roman" w:hAnsi="Times New Roman" w:cs="Times New Roman"/>
          <w:sz w:val="25"/>
          <w:szCs w:val="25"/>
        </w:rPr>
        <w:t>Babu</w:t>
      </w:r>
      <w:proofErr w:type="spellEnd"/>
      <w:r w:rsidRPr="00FE2F58">
        <w:rPr>
          <w:rFonts w:ascii="Times New Roman" w:eastAsia="Times New Roman" w:hAnsi="Times New Roman" w:cs="Times New Roman"/>
          <w:sz w:val="25"/>
          <w:szCs w:val="25"/>
        </w:rPr>
        <w:t xml:space="preserve"> and R </w:t>
      </w:r>
      <w:proofErr w:type="spellStart"/>
      <w:r w:rsidRPr="00FE2F58">
        <w:rPr>
          <w:rFonts w:ascii="Times New Roman" w:eastAsia="Times New Roman" w:hAnsi="Times New Roman" w:cs="Times New Roman"/>
          <w:sz w:val="25"/>
          <w:szCs w:val="25"/>
        </w:rPr>
        <w:t>Lahoti</w:t>
      </w:r>
      <w:proofErr w:type="spellEnd"/>
      <w:r w:rsidRPr="00FE2F58">
        <w:rPr>
          <w:rFonts w:ascii="Times New Roman" w:eastAsia="Times New Roman" w:hAnsi="Times New Roman" w:cs="Times New Roman"/>
          <w:sz w:val="25"/>
          <w:szCs w:val="25"/>
        </w:rPr>
        <w:t xml:space="preserve"> JJ.)</w:t>
      </w:r>
      <w:proofErr w:type="gramEnd"/>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13.03.2011</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61485F" w:rsidP="00FE2F58">
      <w:pPr>
        <w:spacing w:after="0" w:line="240" w:lineRule="auto"/>
        <w:jc w:val="center"/>
        <w:rPr>
          <w:rFonts w:ascii="Times New Roman" w:eastAsia="Times New Roman" w:hAnsi="Times New Roman" w:cs="Times New Roman"/>
          <w:sz w:val="25"/>
          <w:szCs w:val="25"/>
        </w:rPr>
      </w:pPr>
      <w:r w:rsidRPr="00FE2F58">
        <w:rPr>
          <w:rFonts w:ascii="Times New Roman" w:eastAsia="Times New Roman" w:hAnsi="Times New Roman" w:cs="Times New Roman"/>
          <w:b/>
          <w:bCs/>
          <w:sz w:val="25"/>
          <w:szCs w:val="25"/>
        </w:rPr>
        <w:t>JUDGMENT</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b/>
          <w:bCs/>
          <w:sz w:val="25"/>
          <w:szCs w:val="25"/>
        </w:rPr>
        <w:t> </w:t>
      </w:r>
    </w:p>
    <w:p w:rsidR="00FE2F58" w:rsidRDefault="00FE2F58" w:rsidP="00FE2F58">
      <w:pPr>
        <w:spacing w:after="0" w:line="240" w:lineRule="auto"/>
        <w:jc w:val="both"/>
        <w:rPr>
          <w:rFonts w:ascii="Times New Roman" w:eastAsia="Times New Roman" w:hAnsi="Times New Roman" w:cs="Times New Roman"/>
          <w:b/>
          <w:bCs/>
          <w:sz w:val="25"/>
          <w:szCs w:val="25"/>
        </w:rPr>
      </w:pPr>
      <w:proofErr w:type="spellStart"/>
      <w:r w:rsidRPr="00FE2F58">
        <w:rPr>
          <w:rFonts w:ascii="Times New Roman" w:eastAsia="Times New Roman" w:hAnsi="Times New Roman" w:cs="Times New Roman"/>
          <w:b/>
          <w:bCs/>
          <w:sz w:val="25"/>
          <w:szCs w:val="25"/>
        </w:rPr>
        <w:t>Rajendra</w:t>
      </w:r>
      <w:proofErr w:type="spellEnd"/>
      <w:r w:rsidRPr="00FE2F58">
        <w:rPr>
          <w:rFonts w:ascii="Times New Roman" w:eastAsia="Times New Roman" w:hAnsi="Times New Roman" w:cs="Times New Roman"/>
          <w:b/>
          <w:bCs/>
          <w:sz w:val="25"/>
          <w:szCs w:val="25"/>
        </w:rPr>
        <w:t xml:space="preserve"> </w:t>
      </w:r>
      <w:proofErr w:type="spellStart"/>
      <w:r w:rsidRPr="00FE2F58">
        <w:rPr>
          <w:rFonts w:ascii="Times New Roman" w:eastAsia="Times New Roman" w:hAnsi="Times New Roman" w:cs="Times New Roman"/>
          <w:b/>
          <w:bCs/>
          <w:sz w:val="25"/>
          <w:szCs w:val="25"/>
        </w:rPr>
        <w:t>Babu</w:t>
      </w:r>
      <w:proofErr w:type="spellEnd"/>
      <w:r w:rsidR="0061485F" w:rsidRPr="00FE2F58">
        <w:rPr>
          <w:rFonts w:ascii="Times New Roman" w:eastAsia="Times New Roman" w:hAnsi="Times New Roman" w:cs="Times New Roman"/>
          <w:b/>
          <w:bCs/>
          <w:sz w:val="25"/>
          <w:szCs w:val="25"/>
        </w:rPr>
        <w:t>, J.</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1485F" w:rsidRPr="00FE2F58">
        <w:rPr>
          <w:rFonts w:ascii="Times New Roman" w:eastAsia="Times New Roman" w:hAnsi="Times New Roman" w:cs="Times New Roman"/>
          <w:sz w:val="25"/>
          <w:szCs w:val="25"/>
        </w:rPr>
        <w:t xml:space="preserve">In these matters the Andhra Pradesh High Court concluded that software is of two categories - (i) software which is </w:t>
      </w:r>
      <w:proofErr w:type="spellStart"/>
      <w:r w:rsidR="0061485F" w:rsidRPr="00FE2F58">
        <w:rPr>
          <w:rFonts w:ascii="Times New Roman" w:eastAsia="Times New Roman" w:hAnsi="Times New Roman" w:cs="Times New Roman"/>
          <w:sz w:val="25"/>
          <w:szCs w:val="25"/>
        </w:rPr>
        <w:t>specialised</w:t>
      </w:r>
      <w:proofErr w:type="spellEnd"/>
      <w:r w:rsidR="0061485F" w:rsidRPr="00FE2F58">
        <w:rPr>
          <w:rFonts w:ascii="Times New Roman" w:eastAsia="Times New Roman" w:hAnsi="Times New Roman" w:cs="Times New Roman"/>
          <w:sz w:val="25"/>
          <w:szCs w:val="25"/>
        </w:rPr>
        <w:t xml:space="preserve"> and exclusively custom-made to cater to the needs of individual clients, and (ii) software which is </w:t>
      </w:r>
      <w:proofErr w:type="spellStart"/>
      <w:r w:rsidR="0061485F" w:rsidRPr="00FE2F58">
        <w:rPr>
          <w:rFonts w:ascii="Times New Roman" w:eastAsia="Times New Roman" w:hAnsi="Times New Roman" w:cs="Times New Roman"/>
          <w:sz w:val="25"/>
          <w:szCs w:val="25"/>
        </w:rPr>
        <w:t>standardised</w:t>
      </w:r>
      <w:proofErr w:type="spellEnd"/>
      <w:r w:rsidR="0061485F" w:rsidRPr="00FE2F58">
        <w:rPr>
          <w:rFonts w:ascii="Times New Roman" w:eastAsia="Times New Roman" w:hAnsi="Times New Roman" w:cs="Times New Roman"/>
          <w:sz w:val="25"/>
          <w:szCs w:val="25"/>
        </w:rPr>
        <w:t xml:space="preserve"> and marketed for the use of certain classes of clients, like the Oracle, Lotus, Master Key, N-Export, Ex. </w:t>
      </w:r>
      <w:proofErr w:type="spellStart"/>
      <w:r w:rsidR="0061485F" w:rsidRPr="00FE2F58">
        <w:rPr>
          <w:rFonts w:ascii="Times New Roman" w:eastAsia="Times New Roman" w:hAnsi="Times New Roman" w:cs="Times New Roman"/>
          <w:sz w:val="25"/>
          <w:szCs w:val="25"/>
        </w:rPr>
        <w:t>Unigraphics</w:t>
      </w:r>
      <w:proofErr w:type="spellEnd"/>
      <w:r w:rsidR="0061485F" w:rsidRPr="00FE2F58">
        <w:rPr>
          <w:rFonts w:ascii="Times New Roman" w:eastAsia="Times New Roman" w:hAnsi="Times New Roman" w:cs="Times New Roman"/>
          <w:sz w:val="25"/>
          <w:szCs w:val="25"/>
        </w:rPr>
        <w:t xml:space="preserve">, etc. and held that for the purpose of the Andhra Pradesh General Sales Tax Act (hereinafter referred to as the Act) it is not necessary to consider whether the definition of goods in Section 2(h) of the Act has to be read down so as to exclude software from it. The High Court took the view that the first category may not constitute goods for the purpose of the Act, while the second </w:t>
      </w:r>
      <w:proofErr w:type="gramStart"/>
      <w:r w:rsidR="0061485F" w:rsidRPr="00FE2F58">
        <w:rPr>
          <w:rFonts w:ascii="Times New Roman" w:eastAsia="Times New Roman" w:hAnsi="Times New Roman" w:cs="Times New Roman"/>
          <w:sz w:val="25"/>
          <w:szCs w:val="25"/>
        </w:rPr>
        <w:t>category are</w:t>
      </w:r>
      <w:proofErr w:type="gramEnd"/>
      <w:r w:rsidR="0061485F" w:rsidRPr="00FE2F58">
        <w:rPr>
          <w:rFonts w:ascii="Times New Roman" w:eastAsia="Times New Roman" w:hAnsi="Times New Roman" w:cs="Times New Roman"/>
          <w:sz w:val="25"/>
          <w:szCs w:val="25"/>
        </w:rPr>
        <w:t xml:space="preserve"> goods and held that they are </w:t>
      </w:r>
      <w:proofErr w:type="spellStart"/>
      <w:r w:rsidR="0061485F" w:rsidRPr="00FE2F58">
        <w:rPr>
          <w:rFonts w:ascii="Times New Roman" w:eastAsia="Times New Roman" w:hAnsi="Times New Roman" w:cs="Times New Roman"/>
          <w:sz w:val="25"/>
          <w:szCs w:val="25"/>
        </w:rPr>
        <w:t>leviable</w:t>
      </w:r>
      <w:proofErr w:type="spellEnd"/>
      <w:r w:rsidR="0061485F" w:rsidRPr="00FE2F58">
        <w:rPr>
          <w:rFonts w:ascii="Times New Roman" w:eastAsia="Times New Roman" w:hAnsi="Times New Roman" w:cs="Times New Roman"/>
          <w:sz w:val="25"/>
          <w:szCs w:val="25"/>
        </w:rPr>
        <w:t xml:space="preserve"> to tax.</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1485F" w:rsidRPr="00FE2F58">
        <w:rPr>
          <w:rFonts w:ascii="Times New Roman" w:eastAsia="Times New Roman" w:hAnsi="Times New Roman" w:cs="Times New Roman"/>
          <w:sz w:val="25"/>
          <w:szCs w:val="25"/>
        </w:rPr>
        <w:t xml:space="preserve">The case advanced on behalf of the appellants is that the branded software which is an intellectual property being product of thought, creativity and intellectual efforts cannot be goods for the purpose of the Act; that it is an intangible intellectual property and, therefore, cannot be goods; that software is an essentially classic form of intellectual property; that the value of the tapes on which it is sold is much lesser than the value of the software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itself; that the software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is always transferred onto the hardware and then the tapes are useless; that, therefore, the licensee/payer is paying for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and not for the tapes or discs; these discs are different from music cassettes and video tapes, music reels, etc. because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on the discs is separable and is always transferred to the hardware, whereas in the case of music cassettes, etc. though they may be separable and can be transferred to another cassette or tape this is not generally done and the music or movie always remains on the tangible property on which it was stored when sold; that there are other methods by which a software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can be installed, like,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directly keying in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through the console keyboard; that what is transferred is the right to use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(which is a set of instructions) and not the tape on which it is stored; that though software has a physical component, these physical components are merely tangential incidents of a computer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they do not change the </w:t>
      </w:r>
      <w:proofErr w:type="spellStart"/>
      <w:r w:rsidR="0061485F" w:rsidRPr="00FE2F58">
        <w:rPr>
          <w:rFonts w:ascii="Times New Roman" w:eastAsia="Times New Roman" w:hAnsi="Times New Roman" w:cs="Times New Roman"/>
          <w:sz w:val="25"/>
          <w:szCs w:val="25"/>
        </w:rPr>
        <w:t>programmes</w:t>
      </w:r>
      <w:proofErr w:type="spellEnd"/>
      <w:r w:rsidR="0061485F" w:rsidRPr="00FE2F58">
        <w:rPr>
          <w:rFonts w:ascii="Times New Roman" w:eastAsia="Times New Roman" w:hAnsi="Times New Roman" w:cs="Times New Roman"/>
          <w:sz w:val="25"/>
          <w:szCs w:val="25"/>
        </w:rPr>
        <w:t xml:space="preserve"> </w:t>
      </w:r>
      <w:r w:rsidR="0061485F" w:rsidRPr="00FE2F58">
        <w:rPr>
          <w:rFonts w:ascii="Times New Roman" w:eastAsia="Times New Roman" w:hAnsi="Times New Roman" w:cs="Times New Roman"/>
          <w:sz w:val="25"/>
          <w:szCs w:val="25"/>
        </w:rPr>
        <w:lastRenderedPageBreak/>
        <w:t xml:space="preserve">clearly intangible character; that the essence of the contract is the right to use the software, therefore, the essence of the transaction test must be applied; that in </w:t>
      </w:r>
      <w:r w:rsidR="0061485F" w:rsidRPr="00FE2F58">
        <w:rPr>
          <w:rFonts w:ascii="Times New Roman" w:eastAsia="Times New Roman" w:hAnsi="Times New Roman" w:cs="Times New Roman"/>
          <w:i/>
          <w:sz w:val="25"/>
          <w:szCs w:val="25"/>
        </w:rPr>
        <w:t>PSI Data Systems Ltd. v. Collector of Central Excise</w:t>
      </w:r>
      <w:r w:rsidRPr="00FE2F58">
        <w:rPr>
          <w:rFonts w:ascii="Times New Roman" w:eastAsia="Times New Roman" w:hAnsi="Times New Roman" w:cs="Times New Roman"/>
          <w:i/>
          <w:sz w:val="25"/>
          <w:szCs w:val="25"/>
          <w:vertAlign w:val="superscript"/>
        </w:rPr>
        <w:t>1</w:t>
      </w:r>
      <w:r w:rsidR="0061485F" w:rsidRPr="00FE2F58">
        <w:rPr>
          <w:rFonts w:ascii="Times New Roman" w:eastAsia="Times New Roman" w:hAnsi="Times New Roman" w:cs="Times New Roman"/>
          <w:sz w:val="25"/>
          <w:szCs w:val="25"/>
        </w:rPr>
        <w:t xml:space="preserve"> it is held that if discs, floppies, CD ROMs are sold along with the computer, their value is not to be included for assessing excise duty; that a software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is a process that can be used to achieve a certain result whereas a music cassette etc. is the end product in itself.</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1485F" w:rsidRPr="00FE2F58">
        <w:rPr>
          <w:rFonts w:ascii="Times New Roman" w:eastAsia="Times New Roman" w:hAnsi="Times New Roman" w:cs="Times New Roman"/>
          <w:sz w:val="25"/>
          <w:szCs w:val="25"/>
        </w:rPr>
        <w:t xml:space="preserve">While on behalf of the respondents the case of the appellants is resisted on the ground that the magnetic tapes, discs, are necessary to carry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and for the transfer to the hardware and, therefore, the value of the tapes is equal to the value of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that the fact that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can be transmitted through some other means does not take away from the fact that in fact a tangible means was actually used; that music cassettes, phonographs and movie tapes are indistinguishable from discs and tapes because (i) they can also be transmitted by telephone lines and through radio waves, and (ii) the contents of music cassettes etc. are also transferable to some other medium belonging to the purchaser of the right to use; that software is tangible property and software recorded in physical form becomes inextricably linked with the corporeal object upon which it is stored, that is, a disc, tape, hard drive, etc.; that the fact that the information can be transferred and then physically recorded in another medium does not make software any different from any other type of recorded information that can be transferred to another medium such as film, videotape, audio tape or books; that the distinction between books, films, videotapes, audio-tapes etc. on the one hand and computer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on the other on the basis that the former cannot exist without the tangible medium and the latter can is unsustainable because even a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has to be stored on some medium like the hard disc and books, music etc. can also be transferred from one medium to another; that in </w:t>
      </w:r>
      <w:r w:rsidR="0061485F" w:rsidRPr="006A429E">
        <w:rPr>
          <w:rFonts w:ascii="Times New Roman" w:eastAsia="Times New Roman" w:hAnsi="Times New Roman" w:cs="Times New Roman"/>
          <w:i/>
          <w:sz w:val="25"/>
          <w:szCs w:val="25"/>
        </w:rPr>
        <w:t>Wal-Mart Stores, Inc. v. City of Mobile &amp; County of Mobile</w:t>
      </w:r>
      <w:r w:rsidR="006A429E" w:rsidRPr="006A429E">
        <w:rPr>
          <w:rFonts w:ascii="Times New Roman" w:eastAsia="Times New Roman" w:hAnsi="Times New Roman" w:cs="Times New Roman"/>
          <w:i/>
          <w:sz w:val="25"/>
          <w:szCs w:val="25"/>
          <w:vertAlign w:val="superscript"/>
        </w:rPr>
        <w:t>2</w:t>
      </w:r>
      <w:r w:rsidR="006A429E">
        <w:rPr>
          <w:rFonts w:ascii="Times New Roman" w:eastAsia="Times New Roman" w:hAnsi="Times New Roman" w:cs="Times New Roman"/>
          <w:sz w:val="25"/>
          <w:szCs w:val="25"/>
        </w:rPr>
        <w:t xml:space="preserve"> </w:t>
      </w:r>
      <w:r w:rsidR="0061485F" w:rsidRPr="00FE2F58">
        <w:rPr>
          <w:rFonts w:ascii="Times New Roman" w:eastAsia="Times New Roman" w:hAnsi="Times New Roman" w:cs="Times New Roman"/>
          <w:sz w:val="25"/>
          <w:szCs w:val="25"/>
        </w:rPr>
        <w:t>the Court said, Software is an arrangement of matter recorded in a tangible medium and, therefore, constitutes a corporeal body; that whether another medium was actually used should be seen.</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1485F" w:rsidRPr="00FE2F58">
        <w:rPr>
          <w:rFonts w:ascii="Times New Roman" w:eastAsia="Times New Roman" w:hAnsi="Times New Roman" w:cs="Times New Roman"/>
          <w:sz w:val="25"/>
          <w:szCs w:val="25"/>
        </w:rPr>
        <w:t xml:space="preserve">This Court in </w:t>
      </w:r>
      <w:r w:rsidR="0061485F" w:rsidRPr="006A429E">
        <w:rPr>
          <w:rFonts w:ascii="Times New Roman" w:eastAsia="Times New Roman" w:hAnsi="Times New Roman" w:cs="Times New Roman"/>
          <w:i/>
          <w:sz w:val="25"/>
          <w:szCs w:val="25"/>
        </w:rPr>
        <w:t>M/s Associated Cement Companies Ltd. v. Commissioner of Customs</w:t>
      </w:r>
      <w:r w:rsidR="006A429E" w:rsidRPr="006A429E">
        <w:rPr>
          <w:rFonts w:ascii="Times New Roman" w:eastAsia="Times New Roman" w:hAnsi="Times New Roman" w:cs="Times New Roman"/>
          <w:i/>
          <w:sz w:val="25"/>
          <w:szCs w:val="25"/>
          <w:vertAlign w:val="superscript"/>
        </w:rPr>
        <w:t>3</w:t>
      </w:r>
      <w:r w:rsidR="0061485F" w:rsidRPr="00FE2F58">
        <w:rPr>
          <w:rFonts w:ascii="Times New Roman" w:eastAsia="Times New Roman" w:hAnsi="Times New Roman" w:cs="Times New Roman"/>
          <w:sz w:val="25"/>
          <w:szCs w:val="25"/>
        </w:rPr>
        <w:t xml:space="preserve"> examined a similar question in the context of the Customs Act and Tariff Act with reference to the Customs Valuation (Determination of Price of Imported Goods) Rules, 1988 wherein several decisions rendered relating to levy of sales tax in the context of works contract were cited to contend that the drawings, plan, manuals, etc. supplied were in the nature of intellectual property being knowledge or know how which could only amount to service and not goods. This Court is of the view that those decisions would not be of any help in the case in which the matter was being considered as the question before them was only whether the papers or diskettes etc. containing advice and/or information are goods for the purpose of the Customs/Tariff Act. In the course of the discussion several observations have been made as to the nature of the goods and the expression goods used in various contexts is also taken note of in arriving at the conclusion. It is specifically stated that once these drawings, etc. were put on the diskettes it would enhance the value of those goods and adopted the reasoning set out in </w:t>
      </w:r>
      <w:r w:rsidR="0061485F" w:rsidRPr="006A429E">
        <w:rPr>
          <w:rFonts w:ascii="Times New Roman" w:eastAsia="Times New Roman" w:hAnsi="Times New Roman" w:cs="Times New Roman"/>
          <w:i/>
          <w:sz w:val="25"/>
          <w:szCs w:val="25"/>
        </w:rPr>
        <w:t>Advent Systems Limited v. UNISYS Corporation</w:t>
      </w:r>
      <w:r w:rsidR="006A429E" w:rsidRPr="006A429E">
        <w:rPr>
          <w:rFonts w:ascii="Times New Roman" w:eastAsia="Times New Roman" w:hAnsi="Times New Roman" w:cs="Times New Roman"/>
          <w:i/>
          <w:sz w:val="25"/>
          <w:szCs w:val="25"/>
          <w:vertAlign w:val="superscript"/>
        </w:rPr>
        <w:t>4</w:t>
      </w:r>
      <w:r w:rsidR="0061485F" w:rsidRPr="00FE2F58">
        <w:rPr>
          <w:rFonts w:ascii="Times New Roman" w:eastAsia="Times New Roman" w:hAnsi="Times New Roman" w:cs="Times New Roman"/>
          <w:sz w:val="25"/>
          <w:szCs w:val="25"/>
        </w:rPr>
        <w:t xml:space="preserve">, that computer </w:t>
      </w:r>
      <w:proofErr w:type="spellStart"/>
      <w:r w:rsidR="0061485F" w:rsidRPr="00FE2F58">
        <w:rPr>
          <w:rFonts w:ascii="Times New Roman" w:eastAsia="Times New Roman" w:hAnsi="Times New Roman" w:cs="Times New Roman"/>
          <w:sz w:val="25"/>
          <w:szCs w:val="25"/>
        </w:rPr>
        <w:t>programmes</w:t>
      </w:r>
      <w:proofErr w:type="spellEnd"/>
      <w:r w:rsidR="0061485F" w:rsidRPr="00FE2F58">
        <w:rPr>
          <w:rFonts w:ascii="Times New Roman" w:eastAsia="Times New Roman" w:hAnsi="Times New Roman" w:cs="Times New Roman"/>
          <w:sz w:val="25"/>
          <w:szCs w:val="25"/>
        </w:rPr>
        <w:t xml:space="preserve"> are the product of an intellectual process, but once implanted in a medium are widely distributed to computer owners though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can be copyrightable as </w:t>
      </w:r>
      <w:r w:rsidR="0061485F" w:rsidRPr="00FE2F58">
        <w:rPr>
          <w:rFonts w:ascii="Times New Roman" w:eastAsia="Times New Roman" w:hAnsi="Times New Roman" w:cs="Times New Roman"/>
          <w:sz w:val="25"/>
          <w:szCs w:val="25"/>
        </w:rPr>
        <w:lastRenderedPageBreak/>
        <w:t xml:space="preserve">intellectual property it does not alter the fact that once in the form of a floppy disk or other medium the </w:t>
      </w:r>
      <w:proofErr w:type="spellStart"/>
      <w:r w:rsidR="0061485F" w:rsidRPr="00FE2F58">
        <w:rPr>
          <w:rFonts w:ascii="Times New Roman" w:eastAsia="Times New Roman" w:hAnsi="Times New Roman" w:cs="Times New Roman"/>
          <w:sz w:val="25"/>
          <w:szCs w:val="25"/>
        </w:rPr>
        <w:t>programme</w:t>
      </w:r>
      <w:proofErr w:type="spellEnd"/>
      <w:r w:rsidR="0061485F" w:rsidRPr="00FE2F58">
        <w:rPr>
          <w:rFonts w:ascii="Times New Roman" w:eastAsia="Times New Roman" w:hAnsi="Times New Roman" w:cs="Times New Roman"/>
          <w:sz w:val="25"/>
          <w:szCs w:val="25"/>
        </w:rPr>
        <w:t xml:space="preserve"> is tangible, moveable and available in the market place and, therefore, would amount to goods. The fact that some </w:t>
      </w:r>
      <w:proofErr w:type="spellStart"/>
      <w:r w:rsidR="0061485F" w:rsidRPr="00FE2F58">
        <w:rPr>
          <w:rFonts w:ascii="Times New Roman" w:eastAsia="Times New Roman" w:hAnsi="Times New Roman" w:cs="Times New Roman"/>
          <w:sz w:val="25"/>
          <w:szCs w:val="25"/>
        </w:rPr>
        <w:t>programmes</w:t>
      </w:r>
      <w:proofErr w:type="spellEnd"/>
      <w:r w:rsidR="0061485F" w:rsidRPr="00FE2F58">
        <w:rPr>
          <w:rFonts w:ascii="Times New Roman" w:eastAsia="Times New Roman" w:hAnsi="Times New Roman" w:cs="Times New Roman"/>
          <w:sz w:val="25"/>
          <w:szCs w:val="25"/>
        </w:rPr>
        <w:t xml:space="preserve"> may be tailored for specific purposes need not alter their status as goods. To arrive at these conclusions this Court referred to several decisions cited therein.</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1485F" w:rsidRPr="00FE2F58">
        <w:rPr>
          <w:rFonts w:ascii="Times New Roman" w:eastAsia="Times New Roman" w:hAnsi="Times New Roman" w:cs="Times New Roman"/>
          <w:sz w:val="25"/>
          <w:szCs w:val="25"/>
        </w:rPr>
        <w:t xml:space="preserve">The debate adverted to by us as to development of </w:t>
      </w:r>
      <w:proofErr w:type="spellStart"/>
      <w:r w:rsidR="0061485F" w:rsidRPr="00FE2F58">
        <w:rPr>
          <w:rFonts w:ascii="Times New Roman" w:eastAsia="Times New Roman" w:hAnsi="Times New Roman" w:cs="Times New Roman"/>
          <w:sz w:val="25"/>
          <w:szCs w:val="25"/>
        </w:rPr>
        <w:t>customised</w:t>
      </w:r>
      <w:proofErr w:type="spellEnd"/>
      <w:r w:rsidR="0061485F" w:rsidRPr="00FE2F58">
        <w:rPr>
          <w:rFonts w:ascii="Times New Roman" w:eastAsia="Times New Roman" w:hAnsi="Times New Roman" w:cs="Times New Roman"/>
          <w:sz w:val="25"/>
          <w:szCs w:val="25"/>
        </w:rPr>
        <w:t xml:space="preserve"> computer software </w:t>
      </w:r>
      <w:proofErr w:type="spellStart"/>
      <w:r w:rsidR="0061485F" w:rsidRPr="00FE2F58">
        <w:rPr>
          <w:rFonts w:ascii="Times New Roman" w:eastAsia="Times New Roman" w:hAnsi="Times New Roman" w:cs="Times New Roman"/>
          <w:sz w:val="25"/>
          <w:szCs w:val="25"/>
        </w:rPr>
        <w:t>programmes</w:t>
      </w:r>
      <w:proofErr w:type="spellEnd"/>
      <w:r w:rsidR="0061485F" w:rsidRPr="00FE2F58">
        <w:rPr>
          <w:rFonts w:ascii="Times New Roman" w:eastAsia="Times New Roman" w:hAnsi="Times New Roman" w:cs="Times New Roman"/>
          <w:sz w:val="25"/>
          <w:szCs w:val="25"/>
        </w:rPr>
        <w:t xml:space="preserve"> for a customer do not constitute computer and data processing services because the true object of software development contract is not to obtain the services of the consultant, but to obtain software </w:t>
      </w:r>
      <w:proofErr w:type="spellStart"/>
      <w:r w:rsidR="0061485F" w:rsidRPr="00FE2F58">
        <w:rPr>
          <w:rFonts w:ascii="Times New Roman" w:eastAsia="Times New Roman" w:hAnsi="Times New Roman" w:cs="Times New Roman"/>
          <w:sz w:val="25"/>
          <w:szCs w:val="25"/>
        </w:rPr>
        <w:t>programmes</w:t>
      </w:r>
      <w:proofErr w:type="spellEnd"/>
      <w:r w:rsidR="0061485F" w:rsidRPr="00FE2F58">
        <w:rPr>
          <w:rFonts w:ascii="Times New Roman" w:eastAsia="Times New Roman" w:hAnsi="Times New Roman" w:cs="Times New Roman"/>
          <w:sz w:val="25"/>
          <w:szCs w:val="25"/>
        </w:rPr>
        <w:t xml:space="preserve"> consisting of intangible intellectual property which are not taxable. The services used to </w:t>
      </w:r>
      <w:proofErr w:type="spellStart"/>
      <w:r w:rsidR="0061485F" w:rsidRPr="00FE2F58">
        <w:rPr>
          <w:rFonts w:ascii="Times New Roman" w:eastAsia="Times New Roman" w:hAnsi="Times New Roman" w:cs="Times New Roman"/>
          <w:sz w:val="25"/>
          <w:szCs w:val="25"/>
        </w:rPr>
        <w:t>customise</w:t>
      </w:r>
      <w:proofErr w:type="spellEnd"/>
      <w:r w:rsidR="0061485F" w:rsidRPr="00FE2F58">
        <w:rPr>
          <w:rFonts w:ascii="Times New Roman" w:eastAsia="Times New Roman" w:hAnsi="Times New Roman" w:cs="Times New Roman"/>
          <w:sz w:val="25"/>
          <w:szCs w:val="25"/>
        </w:rPr>
        <w:t xml:space="preserve"> and develop the computer software are part of the final software package sold and not separate computer and data processing services subject to tax.</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1485F" w:rsidRPr="00FE2F58" w:rsidRDefault="00FE2F58" w:rsidP="00FE2F5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1485F" w:rsidRPr="00FE2F58">
        <w:rPr>
          <w:rFonts w:ascii="Times New Roman" w:eastAsia="Times New Roman" w:hAnsi="Times New Roman" w:cs="Times New Roman"/>
          <w:sz w:val="25"/>
          <w:szCs w:val="25"/>
        </w:rPr>
        <w:t xml:space="preserve">This debate will be incomplete without considering the decisions in addition to those cited in Associated Cement Company Ltd. case [supra] and those referred to in this order, to the following: </w:t>
      </w:r>
      <w:r w:rsidR="0061485F" w:rsidRPr="006A429E">
        <w:rPr>
          <w:rFonts w:ascii="Times New Roman" w:eastAsia="Times New Roman" w:hAnsi="Times New Roman" w:cs="Times New Roman"/>
          <w:i/>
          <w:sz w:val="25"/>
          <w:szCs w:val="25"/>
        </w:rPr>
        <w:t xml:space="preserve">Beta Computers (Europe) Ltd. v. </w:t>
      </w:r>
      <w:proofErr w:type="spellStart"/>
      <w:r w:rsidR="0061485F" w:rsidRPr="006A429E">
        <w:rPr>
          <w:rFonts w:ascii="Times New Roman" w:eastAsia="Times New Roman" w:hAnsi="Times New Roman" w:cs="Times New Roman"/>
          <w:i/>
          <w:sz w:val="25"/>
          <w:szCs w:val="25"/>
        </w:rPr>
        <w:t>Abobe</w:t>
      </w:r>
      <w:proofErr w:type="spellEnd"/>
      <w:r w:rsidR="0061485F" w:rsidRPr="006A429E">
        <w:rPr>
          <w:rFonts w:ascii="Times New Roman" w:eastAsia="Times New Roman" w:hAnsi="Times New Roman" w:cs="Times New Roman"/>
          <w:i/>
          <w:sz w:val="25"/>
          <w:szCs w:val="25"/>
        </w:rPr>
        <w:t xml:space="preserve"> Systems (Europe) Ltd.</w:t>
      </w:r>
      <w:r w:rsidR="006A429E" w:rsidRPr="006A429E">
        <w:rPr>
          <w:rFonts w:ascii="Times New Roman" w:eastAsia="Times New Roman" w:hAnsi="Times New Roman" w:cs="Times New Roman"/>
          <w:i/>
          <w:sz w:val="25"/>
          <w:szCs w:val="25"/>
          <w:vertAlign w:val="superscript"/>
        </w:rPr>
        <w:t>5</w:t>
      </w:r>
      <w:r w:rsidR="0061485F" w:rsidRPr="00FE2F58">
        <w:rPr>
          <w:rFonts w:ascii="Times New Roman" w:eastAsia="Times New Roman" w:hAnsi="Times New Roman" w:cs="Times New Roman"/>
          <w:sz w:val="25"/>
          <w:szCs w:val="25"/>
        </w:rPr>
        <w:t>; Commerce Union Bank v. Tidwell</w:t>
      </w:r>
      <w:r w:rsidR="006A429E" w:rsidRPr="006A429E">
        <w:rPr>
          <w:rFonts w:ascii="Times New Roman" w:eastAsia="Times New Roman" w:hAnsi="Times New Roman" w:cs="Times New Roman"/>
          <w:sz w:val="25"/>
          <w:szCs w:val="25"/>
          <w:vertAlign w:val="superscript"/>
        </w:rPr>
        <w:t>6</w:t>
      </w:r>
      <w:r w:rsidR="0061485F" w:rsidRPr="00FE2F58">
        <w:rPr>
          <w:rFonts w:ascii="Times New Roman" w:eastAsia="Times New Roman" w:hAnsi="Times New Roman" w:cs="Times New Roman"/>
          <w:sz w:val="25"/>
          <w:szCs w:val="25"/>
        </w:rPr>
        <w:t xml:space="preserve">, </w:t>
      </w:r>
      <w:r w:rsidR="0061485F" w:rsidRPr="006A429E">
        <w:rPr>
          <w:rFonts w:ascii="Times New Roman" w:eastAsia="Times New Roman" w:hAnsi="Times New Roman" w:cs="Times New Roman"/>
          <w:i/>
          <w:sz w:val="25"/>
          <w:szCs w:val="25"/>
        </w:rPr>
        <w:t>Tennessee Supreme Court; State of Alabama v. Central Computer Services. INC</w:t>
      </w:r>
      <w:r w:rsidR="006A429E" w:rsidRPr="006A429E">
        <w:rPr>
          <w:rFonts w:ascii="Times New Roman" w:eastAsia="Times New Roman" w:hAnsi="Times New Roman" w:cs="Times New Roman"/>
          <w:i/>
          <w:sz w:val="25"/>
          <w:szCs w:val="25"/>
          <w:vertAlign w:val="superscript"/>
        </w:rPr>
        <w:t>7</w:t>
      </w:r>
      <w:r w:rsidR="0061485F" w:rsidRPr="006A429E">
        <w:rPr>
          <w:rFonts w:ascii="Times New Roman" w:eastAsia="Times New Roman" w:hAnsi="Times New Roman" w:cs="Times New Roman"/>
          <w:i/>
          <w:sz w:val="25"/>
          <w:szCs w:val="25"/>
        </w:rPr>
        <w:t>, BOB Bullock, Comptroller v. Statistical Tabulating Corporation</w:t>
      </w:r>
      <w:r w:rsidR="006A429E" w:rsidRPr="006A429E">
        <w:rPr>
          <w:rFonts w:ascii="Times New Roman" w:eastAsia="Times New Roman" w:hAnsi="Times New Roman" w:cs="Times New Roman"/>
          <w:i/>
          <w:sz w:val="25"/>
          <w:szCs w:val="25"/>
          <w:vertAlign w:val="superscript"/>
        </w:rPr>
        <w:t>8</w:t>
      </w:r>
      <w:r w:rsidR="0061485F" w:rsidRPr="006A429E">
        <w:rPr>
          <w:rFonts w:ascii="Times New Roman" w:eastAsia="Times New Roman" w:hAnsi="Times New Roman" w:cs="Times New Roman"/>
          <w:i/>
          <w:sz w:val="25"/>
          <w:szCs w:val="25"/>
        </w:rPr>
        <w:t>, Texas Supreme Court; The First National Bank of Fort Worth, A National Banking Association v. BOB Bullock Comptroller of Public Accounts, State of Texas</w:t>
      </w:r>
      <w:r w:rsidR="006A429E" w:rsidRPr="006A429E">
        <w:rPr>
          <w:rFonts w:ascii="Times New Roman" w:eastAsia="Times New Roman" w:hAnsi="Times New Roman" w:cs="Times New Roman"/>
          <w:i/>
          <w:sz w:val="25"/>
          <w:szCs w:val="25"/>
          <w:vertAlign w:val="superscript"/>
        </w:rPr>
        <w:t>9</w:t>
      </w:r>
      <w:r w:rsidR="0061485F" w:rsidRPr="006A429E">
        <w:rPr>
          <w:rFonts w:ascii="Times New Roman" w:eastAsia="Times New Roman" w:hAnsi="Times New Roman" w:cs="Times New Roman"/>
          <w:i/>
          <w:sz w:val="25"/>
          <w:szCs w:val="25"/>
        </w:rPr>
        <w:t>, First National Bank of Springfield v. Department of Revenue</w:t>
      </w:r>
      <w:r w:rsidR="006A429E" w:rsidRPr="006A429E">
        <w:rPr>
          <w:rFonts w:ascii="Times New Roman" w:eastAsia="Times New Roman" w:hAnsi="Times New Roman" w:cs="Times New Roman"/>
          <w:i/>
          <w:sz w:val="25"/>
          <w:szCs w:val="25"/>
          <w:vertAlign w:val="superscript"/>
        </w:rPr>
        <w:t>10</w:t>
      </w:r>
      <w:r w:rsidR="0061485F" w:rsidRPr="006A429E">
        <w:rPr>
          <w:rFonts w:ascii="Times New Roman" w:eastAsia="Times New Roman" w:hAnsi="Times New Roman" w:cs="Times New Roman"/>
          <w:i/>
          <w:sz w:val="25"/>
          <w:szCs w:val="25"/>
        </w:rPr>
        <w:t xml:space="preserve">, </w:t>
      </w:r>
      <w:proofErr w:type="spellStart"/>
      <w:r w:rsidR="0061485F" w:rsidRPr="006A429E">
        <w:rPr>
          <w:rFonts w:ascii="Times New Roman" w:eastAsia="Times New Roman" w:hAnsi="Times New Roman" w:cs="Times New Roman"/>
          <w:i/>
          <w:sz w:val="25"/>
          <w:szCs w:val="25"/>
        </w:rPr>
        <w:t>Illionis</w:t>
      </w:r>
      <w:proofErr w:type="spellEnd"/>
      <w:r w:rsidR="0061485F" w:rsidRPr="006A429E">
        <w:rPr>
          <w:rFonts w:ascii="Times New Roman" w:eastAsia="Times New Roman" w:hAnsi="Times New Roman" w:cs="Times New Roman"/>
          <w:i/>
          <w:sz w:val="25"/>
          <w:szCs w:val="25"/>
        </w:rPr>
        <w:t xml:space="preserve"> Supreme Court; Ray S. James, Director of Revenue, State of Missouri v. </w:t>
      </w:r>
      <w:proofErr w:type="spellStart"/>
      <w:r w:rsidR="0061485F" w:rsidRPr="006A429E">
        <w:rPr>
          <w:rFonts w:ascii="Times New Roman" w:eastAsia="Times New Roman" w:hAnsi="Times New Roman" w:cs="Times New Roman"/>
          <w:i/>
          <w:sz w:val="25"/>
          <w:szCs w:val="25"/>
        </w:rPr>
        <w:t>Tres</w:t>
      </w:r>
      <w:proofErr w:type="spellEnd"/>
      <w:r w:rsidR="0061485F" w:rsidRPr="006A429E">
        <w:rPr>
          <w:rFonts w:ascii="Times New Roman" w:eastAsia="Times New Roman" w:hAnsi="Times New Roman" w:cs="Times New Roman"/>
          <w:i/>
          <w:sz w:val="25"/>
          <w:szCs w:val="25"/>
        </w:rPr>
        <w:t xml:space="preserve"> Computer Systems, INC.</w:t>
      </w:r>
      <w:r w:rsidR="006A429E" w:rsidRPr="006A429E">
        <w:rPr>
          <w:rFonts w:ascii="Times New Roman" w:eastAsia="Times New Roman" w:hAnsi="Times New Roman" w:cs="Times New Roman"/>
          <w:i/>
          <w:sz w:val="25"/>
          <w:szCs w:val="25"/>
          <w:vertAlign w:val="superscript"/>
        </w:rPr>
        <w:t>11</w:t>
      </w:r>
      <w:r w:rsidR="0061485F" w:rsidRPr="006A429E">
        <w:rPr>
          <w:rFonts w:ascii="Times New Roman" w:eastAsia="Times New Roman" w:hAnsi="Times New Roman" w:cs="Times New Roman"/>
          <w:i/>
          <w:sz w:val="25"/>
          <w:szCs w:val="25"/>
        </w:rPr>
        <w:t>, Comptroller of the Treasury v. Equitable Trust Co.</w:t>
      </w:r>
      <w:r w:rsidR="006A429E" w:rsidRPr="006A429E">
        <w:rPr>
          <w:rFonts w:ascii="Times New Roman" w:eastAsia="Times New Roman" w:hAnsi="Times New Roman" w:cs="Times New Roman"/>
          <w:i/>
          <w:sz w:val="25"/>
          <w:szCs w:val="25"/>
          <w:vertAlign w:val="superscript"/>
        </w:rPr>
        <w:t>12</w:t>
      </w:r>
      <w:r w:rsidR="0061485F" w:rsidRPr="006A429E">
        <w:rPr>
          <w:rFonts w:ascii="Times New Roman" w:eastAsia="Times New Roman" w:hAnsi="Times New Roman" w:cs="Times New Roman"/>
          <w:i/>
          <w:sz w:val="25"/>
          <w:szCs w:val="25"/>
        </w:rPr>
        <w:t>,</w:t>
      </w:r>
      <w:r w:rsidR="006A429E" w:rsidRPr="006A429E">
        <w:rPr>
          <w:rFonts w:ascii="Times New Roman" w:eastAsia="Times New Roman" w:hAnsi="Times New Roman" w:cs="Times New Roman"/>
          <w:i/>
          <w:sz w:val="25"/>
          <w:szCs w:val="25"/>
        </w:rPr>
        <w:t xml:space="preserve"> </w:t>
      </w:r>
      <w:r w:rsidR="0061485F" w:rsidRPr="006A429E">
        <w:rPr>
          <w:rFonts w:ascii="Times New Roman" w:eastAsia="Times New Roman" w:hAnsi="Times New Roman" w:cs="Times New Roman"/>
          <w:i/>
          <w:sz w:val="25"/>
          <w:szCs w:val="25"/>
        </w:rPr>
        <w:t>Chittenden Trust Co. v. Commissioner of Taxes</w:t>
      </w:r>
      <w:r w:rsidR="006A429E" w:rsidRPr="006A429E">
        <w:rPr>
          <w:rFonts w:ascii="Times New Roman" w:eastAsia="Times New Roman" w:hAnsi="Times New Roman" w:cs="Times New Roman"/>
          <w:i/>
          <w:sz w:val="25"/>
          <w:szCs w:val="25"/>
          <w:vertAlign w:val="superscript"/>
        </w:rPr>
        <w:t>13</w:t>
      </w:r>
      <w:r w:rsidR="0061485F" w:rsidRPr="006A429E">
        <w:rPr>
          <w:rFonts w:ascii="Times New Roman" w:eastAsia="Times New Roman" w:hAnsi="Times New Roman" w:cs="Times New Roman"/>
          <w:i/>
          <w:sz w:val="25"/>
          <w:szCs w:val="25"/>
        </w:rPr>
        <w:t xml:space="preserve">, Vermont Supreme Court; Toby Constructions Products Pty. Ltd. v. </w:t>
      </w:r>
      <w:proofErr w:type="spellStart"/>
      <w:r w:rsidR="0061485F" w:rsidRPr="006A429E">
        <w:rPr>
          <w:rFonts w:ascii="Times New Roman" w:eastAsia="Times New Roman" w:hAnsi="Times New Roman" w:cs="Times New Roman"/>
          <w:i/>
          <w:sz w:val="25"/>
          <w:szCs w:val="25"/>
        </w:rPr>
        <w:t>Computa</w:t>
      </w:r>
      <w:proofErr w:type="spellEnd"/>
      <w:r w:rsidR="0061485F" w:rsidRPr="006A429E">
        <w:rPr>
          <w:rFonts w:ascii="Times New Roman" w:eastAsia="Times New Roman" w:hAnsi="Times New Roman" w:cs="Times New Roman"/>
          <w:i/>
          <w:sz w:val="25"/>
          <w:szCs w:val="25"/>
        </w:rPr>
        <w:t xml:space="preserve"> Bar (Sales) Pty. Ltd. (1983); University Computing Company v. Hon. Martha Olsen, Commissioner of Revenue for the State of Tennessee</w:t>
      </w:r>
      <w:r w:rsidR="006A429E" w:rsidRPr="006A429E">
        <w:rPr>
          <w:rFonts w:ascii="Times New Roman" w:eastAsia="Times New Roman" w:hAnsi="Times New Roman" w:cs="Times New Roman"/>
          <w:i/>
          <w:sz w:val="25"/>
          <w:szCs w:val="25"/>
          <w:vertAlign w:val="superscript"/>
        </w:rPr>
        <w:t>14</w:t>
      </w:r>
      <w:r w:rsidR="0061485F" w:rsidRPr="006A429E">
        <w:rPr>
          <w:rFonts w:ascii="Times New Roman" w:eastAsia="Times New Roman" w:hAnsi="Times New Roman" w:cs="Times New Roman"/>
          <w:i/>
          <w:sz w:val="25"/>
          <w:szCs w:val="25"/>
        </w:rPr>
        <w:t xml:space="preserve">, Hasbro Industries, INC. v. John H. </w:t>
      </w:r>
      <w:proofErr w:type="spellStart"/>
      <w:r w:rsidR="0061485F" w:rsidRPr="006A429E">
        <w:rPr>
          <w:rFonts w:ascii="Times New Roman" w:eastAsia="Times New Roman" w:hAnsi="Times New Roman" w:cs="Times New Roman"/>
          <w:i/>
          <w:sz w:val="25"/>
          <w:szCs w:val="25"/>
        </w:rPr>
        <w:t>Norberg</w:t>
      </w:r>
      <w:proofErr w:type="spellEnd"/>
      <w:r w:rsidR="0061485F" w:rsidRPr="006A429E">
        <w:rPr>
          <w:rFonts w:ascii="Times New Roman" w:eastAsia="Times New Roman" w:hAnsi="Times New Roman" w:cs="Times New Roman"/>
          <w:i/>
          <w:sz w:val="25"/>
          <w:szCs w:val="25"/>
        </w:rPr>
        <w:t>, Tax Administrator</w:t>
      </w:r>
      <w:r w:rsidR="006A429E" w:rsidRPr="006A429E">
        <w:rPr>
          <w:rFonts w:ascii="Times New Roman" w:eastAsia="Times New Roman" w:hAnsi="Times New Roman" w:cs="Times New Roman"/>
          <w:i/>
          <w:sz w:val="25"/>
          <w:szCs w:val="25"/>
          <w:vertAlign w:val="superscript"/>
        </w:rPr>
        <w:t>15</w:t>
      </w:r>
      <w:r w:rsidR="0061485F" w:rsidRPr="006A429E">
        <w:rPr>
          <w:rFonts w:ascii="Times New Roman" w:eastAsia="Times New Roman" w:hAnsi="Times New Roman" w:cs="Times New Roman"/>
          <w:i/>
          <w:sz w:val="25"/>
          <w:szCs w:val="25"/>
        </w:rPr>
        <w:t xml:space="preserve">, </w:t>
      </w:r>
      <w:proofErr w:type="spellStart"/>
      <w:r w:rsidR="0061485F" w:rsidRPr="006A429E">
        <w:rPr>
          <w:rFonts w:ascii="Times New Roman" w:eastAsia="Times New Roman" w:hAnsi="Times New Roman" w:cs="Times New Roman"/>
          <w:i/>
          <w:sz w:val="25"/>
          <w:szCs w:val="25"/>
        </w:rPr>
        <w:t>Compuserve</w:t>
      </w:r>
      <w:proofErr w:type="spellEnd"/>
      <w:r w:rsidR="0061485F" w:rsidRPr="006A429E">
        <w:rPr>
          <w:rFonts w:ascii="Times New Roman" w:eastAsia="Times New Roman" w:hAnsi="Times New Roman" w:cs="Times New Roman"/>
          <w:i/>
          <w:sz w:val="25"/>
          <w:szCs w:val="25"/>
        </w:rPr>
        <w:t>, INC. v. Lindley</w:t>
      </w:r>
      <w:r w:rsidR="006A429E" w:rsidRPr="006A429E">
        <w:rPr>
          <w:rFonts w:ascii="Times New Roman" w:eastAsia="Times New Roman" w:hAnsi="Times New Roman" w:cs="Times New Roman"/>
          <w:i/>
          <w:sz w:val="25"/>
          <w:szCs w:val="25"/>
          <w:vertAlign w:val="superscript"/>
        </w:rPr>
        <w:t>16</w:t>
      </w:r>
      <w:r w:rsidR="0061485F" w:rsidRPr="006A429E">
        <w:rPr>
          <w:rFonts w:ascii="Times New Roman" w:eastAsia="Times New Roman" w:hAnsi="Times New Roman" w:cs="Times New Roman"/>
          <w:i/>
          <w:sz w:val="25"/>
          <w:szCs w:val="25"/>
        </w:rPr>
        <w:t xml:space="preserve">,; Northeast </w:t>
      </w:r>
      <w:proofErr w:type="spellStart"/>
      <w:r w:rsidR="0061485F" w:rsidRPr="006A429E">
        <w:rPr>
          <w:rFonts w:ascii="Times New Roman" w:eastAsia="Times New Roman" w:hAnsi="Times New Roman" w:cs="Times New Roman"/>
          <w:i/>
          <w:sz w:val="25"/>
          <w:szCs w:val="25"/>
        </w:rPr>
        <w:t>Datacom</w:t>
      </w:r>
      <w:proofErr w:type="spellEnd"/>
      <w:r w:rsidR="0061485F" w:rsidRPr="006A429E">
        <w:rPr>
          <w:rFonts w:ascii="Times New Roman" w:eastAsia="Times New Roman" w:hAnsi="Times New Roman" w:cs="Times New Roman"/>
          <w:i/>
          <w:sz w:val="25"/>
          <w:szCs w:val="25"/>
        </w:rPr>
        <w:t>, INC v. City of Wallingford</w:t>
      </w:r>
      <w:r w:rsidR="006A429E" w:rsidRPr="006A429E">
        <w:rPr>
          <w:rFonts w:ascii="Times New Roman" w:eastAsia="Times New Roman" w:hAnsi="Times New Roman" w:cs="Times New Roman"/>
          <w:i/>
          <w:sz w:val="25"/>
          <w:szCs w:val="25"/>
          <w:vertAlign w:val="superscript"/>
        </w:rPr>
        <w:t>17</w:t>
      </w:r>
      <w:r w:rsidR="0061485F" w:rsidRPr="006A429E">
        <w:rPr>
          <w:rFonts w:ascii="Times New Roman" w:eastAsia="Times New Roman" w:hAnsi="Times New Roman" w:cs="Times New Roman"/>
          <w:i/>
          <w:sz w:val="25"/>
          <w:szCs w:val="25"/>
        </w:rPr>
        <w:t xml:space="preserve">, </w:t>
      </w:r>
      <w:proofErr w:type="spellStart"/>
      <w:r w:rsidR="0061485F" w:rsidRPr="006A429E">
        <w:rPr>
          <w:rFonts w:ascii="Times New Roman" w:eastAsia="Times New Roman" w:hAnsi="Times New Roman" w:cs="Times New Roman"/>
          <w:i/>
          <w:sz w:val="25"/>
          <w:szCs w:val="25"/>
        </w:rPr>
        <w:t>Connectict</w:t>
      </w:r>
      <w:proofErr w:type="spellEnd"/>
      <w:r w:rsidR="0061485F" w:rsidRPr="006A429E">
        <w:rPr>
          <w:rFonts w:ascii="Times New Roman" w:eastAsia="Times New Roman" w:hAnsi="Times New Roman" w:cs="Times New Roman"/>
          <w:i/>
          <w:sz w:val="25"/>
          <w:szCs w:val="25"/>
        </w:rPr>
        <w:t xml:space="preserve"> Supreme Court; South Central Bell Telephone Co. v. </w:t>
      </w:r>
      <w:proofErr w:type="spellStart"/>
      <w:r w:rsidR="0061485F" w:rsidRPr="006A429E">
        <w:rPr>
          <w:rFonts w:ascii="Times New Roman" w:eastAsia="Times New Roman" w:hAnsi="Times New Roman" w:cs="Times New Roman"/>
          <w:i/>
          <w:sz w:val="25"/>
          <w:szCs w:val="25"/>
        </w:rPr>
        <w:t>Sindney</w:t>
      </w:r>
      <w:proofErr w:type="spellEnd"/>
      <w:r w:rsidR="0061485F" w:rsidRPr="006A429E">
        <w:rPr>
          <w:rFonts w:ascii="Times New Roman" w:eastAsia="Times New Roman" w:hAnsi="Times New Roman" w:cs="Times New Roman"/>
          <w:i/>
          <w:sz w:val="25"/>
          <w:szCs w:val="25"/>
        </w:rPr>
        <w:t xml:space="preserve"> K. Barthelemy</w:t>
      </w:r>
      <w:r w:rsidR="006A429E" w:rsidRPr="006A429E">
        <w:rPr>
          <w:rFonts w:ascii="Times New Roman" w:eastAsia="Times New Roman" w:hAnsi="Times New Roman" w:cs="Times New Roman"/>
          <w:i/>
          <w:sz w:val="25"/>
          <w:szCs w:val="25"/>
          <w:vertAlign w:val="superscript"/>
        </w:rPr>
        <w:t>18</w:t>
      </w:r>
      <w:r w:rsidR="0061485F" w:rsidRPr="006A429E">
        <w:rPr>
          <w:rFonts w:ascii="Times New Roman" w:eastAsia="Times New Roman" w:hAnsi="Times New Roman" w:cs="Times New Roman"/>
          <w:i/>
          <w:sz w:val="25"/>
          <w:szCs w:val="25"/>
        </w:rPr>
        <w:t xml:space="preserve">,; Wal-Mart Stores, INC. v. City of Mobile &amp; County of Mobile (supra); Kenneth P. Hahn. </w:t>
      </w:r>
      <w:proofErr w:type="gramStart"/>
      <w:r w:rsidR="0061485F" w:rsidRPr="006A429E">
        <w:rPr>
          <w:rFonts w:ascii="Times New Roman" w:eastAsia="Times New Roman" w:hAnsi="Times New Roman" w:cs="Times New Roman"/>
          <w:i/>
          <w:sz w:val="25"/>
          <w:szCs w:val="25"/>
        </w:rPr>
        <w:t>As Assessor, etc. v. State Board of Equalization; State v. Central Computer Services.</w:t>
      </w:r>
      <w:proofErr w:type="gramEnd"/>
      <w:r w:rsidR="0061485F" w:rsidRPr="006A429E">
        <w:rPr>
          <w:rFonts w:ascii="Times New Roman" w:eastAsia="Times New Roman" w:hAnsi="Times New Roman" w:cs="Times New Roman"/>
          <w:i/>
          <w:sz w:val="25"/>
          <w:szCs w:val="25"/>
        </w:rPr>
        <w:t xml:space="preserve"> Inc.</w:t>
      </w:r>
      <w:r w:rsidR="006A429E" w:rsidRPr="006A429E">
        <w:rPr>
          <w:rFonts w:ascii="Times New Roman" w:eastAsia="Times New Roman" w:hAnsi="Times New Roman" w:cs="Times New Roman"/>
          <w:i/>
          <w:sz w:val="25"/>
          <w:szCs w:val="25"/>
          <w:vertAlign w:val="superscript"/>
        </w:rPr>
        <w:t>19</w:t>
      </w:r>
      <w:r w:rsidR="0061485F" w:rsidRPr="006A429E">
        <w:rPr>
          <w:rFonts w:ascii="Times New Roman" w:eastAsia="Times New Roman" w:hAnsi="Times New Roman" w:cs="Times New Roman"/>
          <w:i/>
          <w:sz w:val="25"/>
          <w:szCs w:val="25"/>
        </w:rPr>
        <w:t>; and Andersen Consulting, LLP v. Gene Gavin, Commissioner of Revenue Services</w:t>
      </w:r>
      <w:r w:rsidR="006A429E" w:rsidRPr="006A429E">
        <w:rPr>
          <w:rFonts w:ascii="Times New Roman" w:eastAsia="Times New Roman" w:hAnsi="Times New Roman" w:cs="Times New Roman"/>
          <w:i/>
          <w:sz w:val="25"/>
          <w:szCs w:val="25"/>
          <w:vertAlign w:val="superscript"/>
        </w:rPr>
        <w:t>20</w:t>
      </w:r>
      <w:proofErr w:type="gramStart"/>
      <w:r w:rsidR="0061485F" w:rsidRPr="00FE2F58">
        <w:rPr>
          <w:rFonts w:ascii="Times New Roman" w:eastAsia="Times New Roman" w:hAnsi="Times New Roman" w:cs="Times New Roman"/>
          <w:sz w:val="25"/>
          <w:szCs w:val="25"/>
        </w:rPr>
        <w:t>,.</w:t>
      </w:r>
      <w:proofErr w:type="gramEnd"/>
      <w:r w:rsidR="0061485F" w:rsidRPr="00FE2F58">
        <w:rPr>
          <w:rFonts w:ascii="Times New Roman" w:eastAsia="Times New Roman" w:hAnsi="Times New Roman" w:cs="Times New Roman"/>
          <w:sz w:val="25"/>
          <w:szCs w:val="25"/>
        </w:rPr>
        <w:t xml:space="preserve"> Deeper and further consideration is required in view of the importance of the matter having global implications. Therefore, an authoritative pronouncement is required on all these aspects of the matter. In that view of the matter, we think it appropriate to place the papers in these cases before the </w:t>
      </w:r>
      <w:proofErr w:type="spellStart"/>
      <w:r w:rsidR="0061485F" w:rsidRPr="00FE2F58">
        <w:rPr>
          <w:rFonts w:ascii="Times New Roman" w:eastAsia="Times New Roman" w:hAnsi="Times New Roman" w:cs="Times New Roman"/>
          <w:sz w:val="25"/>
          <w:szCs w:val="25"/>
        </w:rPr>
        <w:t>Honble</w:t>
      </w:r>
      <w:proofErr w:type="spellEnd"/>
      <w:r w:rsidR="0061485F" w:rsidRPr="00FE2F58">
        <w:rPr>
          <w:rFonts w:ascii="Times New Roman" w:eastAsia="Times New Roman" w:hAnsi="Times New Roman" w:cs="Times New Roman"/>
          <w:sz w:val="25"/>
          <w:szCs w:val="25"/>
        </w:rPr>
        <w:t xml:space="preserve"> the Chief Justice of India to be referred to a Larger Bench.</w:t>
      </w:r>
    </w:p>
    <w:p w:rsidR="0061485F" w:rsidRPr="00FE2F58" w:rsidRDefault="0061485F" w:rsidP="00FE2F58">
      <w:pPr>
        <w:spacing w:after="0" w:line="240" w:lineRule="auto"/>
        <w:jc w:val="both"/>
        <w:rPr>
          <w:rFonts w:ascii="Times New Roman" w:eastAsia="Times New Roman" w:hAnsi="Times New Roman" w:cs="Times New Roman"/>
          <w:sz w:val="25"/>
          <w:szCs w:val="25"/>
        </w:rPr>
      </w:pPr>
      <w:r w:rsidRPr="00FE2F58">
        <w:rPr>
          <w:rFonts w:ascii="Times New Roman" w:eastAsia="Times New Roman" w:hAnsi="Times New Roman" w:cs="Times New Roman"/>
          <w:sz w:val="25"/>
          <w:szCs w:val="25"/>
        </w:rPr>
        <w:t> </w:t>
      </w:r>
    </w:p>
    <w:p w:rsidR="006A429E" w:rsidRPr="006A429E" w:rsidRDefault="006A429E" w:rsidP="00FE2F58">
      <w:pPr>
        <w:spacing w:after="0" w:line="240" w:lineRule="auto"/>
        <w:rPr>
          <w:rFonts w:ascii="Times New Roman" w:eastAsia="Times New Roman" w:hAnsi="Times New Roman" w:cs="Times New Roman"/>
          <w:i/>
        </w:rPr>
      </w:pPr>
      <w:r w:rsidRPr="006A429E">
        <w:rPr>
          <w:rFonts w:ascii="Times New Roman" w:eastAsia="Times New Roman" w:hAnsi="Times New Roman" w:cs="Times New Roman"/>
          <w:i/>
          <w:vertAlign w:val="superscript"/>
        </w:rPr>
        <w:t>1</w:t>
      </w:r>
      <w:r w:rsidRPr="006A429E">
        <w:rPr>
          <w:rFonts w:ascii="Times New Roman" w:eastAsia="Times New Roman" w:hAnsi="Times New Roman" w:cs="Times New Roman"/>
          <w:i/>
        </w:rPr>
        <w:t xml:space="preserve">1997 (2) SCC 78 </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2</w:t>
      </w:r>
      <w:r w:rsidRPr="006A429E">
        <w:rPr>
          <w:rFonts w:ascii="Times New Roman" w:eastAsia="Times New Roman" w:hAnsi="Times New Roman" w:cs="Times New Roman"/>
          <w:i/>
        </w:rPr>
        <w:t xml:space="preserve">200-622, Supreme Court of Alabama (1996) </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rPr>
      </w:pPr>
      <w:r w:rsidRPr="006A429E">
        <w:rPr>
          <w:rFonts w:ascii="Times New Roman" w:eastAsia="Times New Roman" w:hAnsi="Times New Roman" w:cs="Times New Roman"/>
          <w:i/>
          <w:vertAlign w:val="superscript"/>
        </w:rPr>
        <w:t>3</w:t>
      </w:r>
      <w:r w:rsidRPr="006A429E">
        <w:rPr>
          <w:rFonts w:ascii="Times New Roman" w:eastAsia="Times New Roman" w:hAnsi="Times New Roman" w:cs="Times New Roman"/>
          <w:i/>
        </w:rPr>
        <w:t xml:space="preserve">JT 2001 (2) SC 141 </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4</w:t>
      </w:r>
      <w:r w:rsidRPr="006A429E">
        <w:rPr>
          <w:rFonts w:ascii="Times New Roman" w:eastAsia="Times New Roman" w:hAnsi="Times New Roman" w:cs="Times New Roman"/>
          <w:i/>
        </w:rPr>
        <w:t>[925 F 2d 670 (3d Cir 1991)]</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vertAlign w:val="superscript"/>
        </w:rPr>
      </w:pPr>
      <w:r w:rsidRPr="006A429E">
        <w:rPr>
          <w:rFonts w:ascii="Times New Roman" w:eastAsia="Times New Roman" w:hAnsi="Times New Roman" w:cs="Times New Roman"/>
          <w:i/>
          <w:vertAlign w:val="superscript"/>
        </w:rPr>
        <w:t>5</w:t>
      </w:r>
      <w:r w:rsidRPr="006A429E">
        <w:rPr>
          <w:rFonts w:ascii="Times New Roman" w:eastAsia="Times New Roman" w:hAnsi="Times New Roman" w:cs="Times New Roman"/>
          <w:i/>
        </w:rPr>
        <w:t>(1995)</w:t>
      </w:r>
      <w:r w:rsidRPr="006A429E">
        <w:rPr>
          <w:rFonts w:ascii="Times New Roman" w:eastAsia="Times New Roman" w:hAnsi="Times New Roman" w:cs="Times New Roman"/>
          <w:i/>
          <w:vertAlign w:val="superscript"/>
        </w:rPr>
        <w:t xml:space="preserve"> </w:t>
      </w:r>
      <w:r w:rsidRPr="006A429E">
        <w:rPr>
          <w:rFonts w:ascii="Times New Roman" w:eastAsia="Times New Roman" w:hAnsi="Times New Roman" w:cs="Times New Roman"/>
          <w:i/>
          <w:vertAlign w:val="superscript"/>
        </w:rPr>
        <w:t>6</w:t>
      </w:r>
      <w:r w:rsidRPr="006A429E">
        <w:rPr>
          <w:rFonts w:ascii="Times New Roman" w:eastAsia="Times New Roman" w:hAnsi="Times New Roman" w:cs="Times New Roman"/>
          <w:i/>
        </w:rPr>
        <w:t>56-85 TN-</w:t>
      </w:r>
      <w:proofErr w:type="spellStart"/>
      <w:r w:rsidRPr="006A429E">
        <w:rPr>
          <w:rFonts w:ascii="Times New Roman" w:eastAsia="Times New Roman" w:hAnsi="Times New Roman" w:cs="Times New Roman"/>
          <w:i/>
        </w:rPr>
        <w:t>Taxrptr</w:t>
      </w:r>
      <w:proofErr w:type="spellEnd"/>
      <w:r w:rsidRPr="006A429E">
        <w:rPr>
          <w:rFonts w:ascii="Times New Roman" w:eastAsia="Times New Roman" w:hAnsi="Times New Roman" w:cs="Times New Roman"/>
          <w:i/>
        </w:rPr>
        <w:t>-TB 200-279</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7</w:t>
      </w:r>
      <w:r w:rsidRPr="006A429E">
        <w:rPr>
          <w:rFonts w:ascii="Times New Roman" w:eastAsia="Times New Roman" w:hAnsi="Times New Roman" w:cs="Times New Roman"/>
          <w:i/>
        </w:rPr>
        <w:t>379 So 2nd 1156</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rPr>
      </w:pPr>
      <w:r w:rsidRPr="006A429E">
        <w:rPr>
          <w:rFonts w:ascii="Times New Roman" w:eastAsia="Times New Roman" w:hAnsi="Times New Roman" w:cs="Times New Roman"/>
          <w:i/>
          <w:vertAlign w:val="superscript"/>
        </w:rPr>
        <w:t>8</w:t>
      </w:r>
      <w:r w:rsidRPr="006A429E">
        <w:rPr>
          <w:rFonts w:ascii="Times New Roman" w:eastAsia="Times New Roman" w:hAnsi="Times New Roman" w:cs="Times New Roman"/>
          <w:i/>
        </w:rPr>
        <w:t xml:space="preserve">60-82 </w:t>
      </w:r>
      <w:proofErr w:type="spellStart"/>
      <w:r w:rsidRPr="006A429E">
        <w:rPr>
          <w:rFonts w:ascii="Times New Roman" w:eastAsia="Times New Roman" w:hAnsi="Times New Roman" w:cs="Times New Roman"/>
          <w:i/>
        </w:rPr>
        <w:t>Tx</w:t>
      </w:r>
      <w:proofErr w:type="spellEnd"/>
      <w:r w:rsidRPr="006A429E">
        <w:rPr>
          <w:rFonts w:ascii="Times New Roman" w:eastAsia="Times New Roman" w:hAnsi="Times New Roman" w:cs="Times New Roman"/>
          <w:i/>
        </w:rPr>
        <w:t>-</w:t>
      </w:r>
      <w:proofErr w:type="spellStart"/>
      <w:r w:rsidRPr="006A429E">
        <w:rPr>
          <w:rFonts w:ascii="Times New Roman" w:eastAsia="Times New Roman" w:hAnsi="Times New Roman" w:cs="Times New Roman"/>
          <w:i/>
        </w:rPr>
        <w:t>Taxrptr</w:t>
      </w:r>
      <w:proofErr w:type="spellEnd"/>
      <w:r w:rsidRPr="006A429E">
        <w:rPr>
          <w:rFonts w:ascii="Times New Roman" w:eastAsia="Times New Roman" w:hAnsi="Times New Roman" w:cs="Times New Roman"/>
          <w:i/>
        </w:rPr>
        <w:t>-TB 200-</w:t>
      </w:r>
      <w:proofErr w:type="gramStart"/>
      <w:r w:rsidRPr="006A429E">
        <w:rPr>
          <w:rFonts w:ascii="Times New Roman" w:eastAsia="Times New Roman" w:hAnsi="Times New Roman" w:cs="Times New Roman"/>
          <w:i/>
        </w:rPr>
        <w:t>683</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9</w:t>
      </w:r>
      <w:r w:rsidRPr="006A429E">
        <w:rPr>
          <w:rFonts w:ascii="Times New Roman" w:eastAsia="Times New Roman" w:hAnsi="Times New Roman" w:cs="Times New Roman"/>
          <w:i/>
        </w:rPr>
        <w:t>584</w:t>
      </w:r>
      <w:proofErr w:type="gramEnd"/>
      <w:r w:rsidRPr="006A429E">
        <w:rPr>
          <w:rFonts w:ascii="Times New Roman" w:eastAsia="Times New Roman" w:hAnsi="Times New Roman" w:cs="Times New Roman"/>
          <w:i/>
        </w:rPr>
        <w:t xml:space="preserve"> </w:t>
      </w:r>
      <w:proofErr w:type="spellStart"/>
      <w:r w:rsidRPr="006A429E">
        <w:rPr>
          <w:rFonts w:ascii="Times New Roman" w:eastAsia="Times New Roman" w:hAnsi="Times New Roman" w:cs="Times New Roman"/>
          <w:i/>
        </w:rPr>
        <w:t>sw</w:t>
      </w:r>
      <w:proofErr w:type="spellEnd"/>
      <w:r w:rsidRPr="006A429E">
        <w:rPr>
          <w:rFonts w:ascii="Times New Roman" w:eastAsia="Times New Roman" w:hAnsi="Times New Roman" w:cs="Times New Roman"/>
          <w:i/>
        </w:rPr>
        <w:t xml:space="preserve"> 2nd 548</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10</w:t>
      </w:r>
      <w:r w:rsidRPr="006A429E">
        <w:rPr>
          <w:rFonts w:ascii="Times New Roman" w:eastAsia="Times New Roman" w:hAnsi="Times New Roman" w:cs="Times New Roman"/>
          <w:i/>
        </w:rPr>
        <w:t>55-84 IL-</w:t>
      </w:r>
      <w:proofErr w:type="spellStart"/>
      <w:r w:rsidRPr="006A429E">
        <w:rPr>
          <w:rFonts w:ascii="Times New Roman" w:eastAsia="Times New Roman" w:hAnsi="Times New Roman" w:cs="Times New Roman"/>
          <w:i/>
        </w:rPr>
        <w:t>Taxrptr</w:t>
      </w:r>
      <w:proofErr w:type="spellEnd"/>
      <w:r w:rsidRPr="006A429E">
        <w:rPr>
          <w:rFonts w:ascii="Times New Roman" w:eastAsia="Times New Roman" w:hAnsi="Times New Roman" w:cs="Times New Roman"/>
          <w:i/>
        </w:rPr>
        <w:t>-TB 201-165</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vertAlign w:val="superscript"/>
        </w:rPr>
      </w:pPr>
      <w:r w:rsidRPr="006A429E">
        <w:rPr>
          <w:rFonts w:ascii="Times New Roman" w:eastAsia="Times New Roman" w:hAnsi="Times New Roman" w:cs="Times New Roman"/>
          <w:i/>
          <w:vertAlign w:val="superscript"/>
        </w:rPr>
        <w:t>11</w:t>
      </w:r>
      <w:r w:rsidRPr="006A429E">
        <w:rPr>
          <w:rFonts w:ascii="Times New Roman" w:eastAsia="Times New Roman" w:hAnsi="Times New Roman" w:cs="Times New Roman"/>
          <w:i/>
        </w:rPr>
        <w:t>642S.W. 2nd 347</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12</w:t>
      </w:r>
      <w:r w:rsidRPr="006A429E">
        <w:rPr>
          <w:rFonts w:ascii="Times New Roman" w:eastAsia="Times New Roman" w:hAnsi="Times New Roman" w:cs="Times New Roman"/>
          <w:i/>
        </w:rPr>
        <w:t>296 Md. 459, 464 A.2nd 248</w:t>
      </w:r>
    </w:p>
    <w:p w:rsidR="006A429E" w:rsidRPr="006A429E" w:rsidRDefault="006A429E" w:rsidP="00FE2F58">
      <w:pPr>
        <w:spacing w:after="0" w:line="240" w:lineRule="auto"/>
        <w:rPr>
          <w:rFonts w:ascii="Times New Roman" w:eastAsia="Times New Roman" w:hAnsi="Times New Roman" w:cs="Times New Roman"/>
          <w:i/>
        </w:rPr>
      </w:pPr>
      <w:r w:rsidRPr="006A429E">
        <w:rPr>
          <w:rFonts w:ascii="Times New Roman" w:eastAsia="Times New Roman" w:hAnsi="Times New Roman" w:cs="Times New Roman"/>
          <w:i/>
          <w:vertAlign w:val="superscript"/>
        </w:rPr>
        <w:t>13</w:t>
      </w:r>
      <w:r w:rsidRPr="006A429E">
        <w:rPr>
          <w:rFonts w:ascii="Times New Roman" w:eastAsia="Times New Roman" w:hAnsi="Times New Roman" w:cs="Times New Roman"/>
          <w:i/>
        </w:rPr>
        <w:t>55-98 VT-</w:t>
      </w:r>
      <w:proofErr w:type="spellStart"/>
      <w:r w:rsidRPr="006A429E">
        <w:rPr>
          <w:rFonts w:ascii="Times New Roman" w:eastAsia="Times New Roman" w:hAnsi="Times New Roman" w:cs="Times New Roman"/>
          <w:i/>
        </w:rPr>
        <w:t>Taxrptr</w:t>
      </w:r>
      <w:proofErr w:type="spellEnd"/>
      <w:r w:rsidRPr="006A429E">
        <w:rPr>
          <w:rFonts w:ascii="Times New Roman" w:eastAsia="Times New Roman" w:hAnsi="Times New Roman" w:cs="Times New Roman"/>
          <w:i/>
        </w:rPr>
        <w:t>- TB-200-193</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14</w:t>
      </w:r>
      <w:r w:rsidRPr="006A429E">
        <w:rPr>
          <w:rFonts w:ascii="Times New Roman" w:eastAsia="Times New Roman" w:hAnsi="Times New Roman" w:cs="Times New Roman"/>
          <w:i/>
        </w:rPr>
        <w:t>677 S.W. 2d 445</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rPr>
      </w:pPr>
      <w:r w:rsidRPr="006A429E">
        <w:rPr>
          <w:rFonts w:ascii="Times New Roman" w:eastAsia="Times New Roman" w:hAnsi="Times New Roman" w:cs="Times New Roman"/>
          <w:i/>
          <w:vertAlign w:val="superscript"/>
        </w:rPr>
        <w:t>15</w:t>
      </w:r>
      <w:r w:rsidRPr="006A429E">
        <w:rPr>
          <w:rFonts w:ascii="Times New Roman" w:eastAsia="Times New Roman" w:hAnsi="Times New Roman" w:cs="Times New Roman"/>
          <w:i/>
        </w:rPr>
        <w:t>487 A.2d 124</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16</w:t>
      </w:r>
      <w:r w:rsidRPr="006A429E">
        <w:rPr>
          <w:rFonts w:ascii="Times New Roman" w:eastAsia="Times New Roman" w:hAnsi="Times New Roman" w:cs="Times New Roman"/>
          <w:i/>
        </w:rPr>
        <w:t>535 N.E. 2nd 360</w:t>
      </w:r>
      <w:r w:rsidRPr="006A429E">
        <w:rPr>
          <w:rFonts w:ascii="Times New Roman" w:eastAsia="Times New Roman" w:hAnsi="Times New Roman" w:cs="Times New Roman"/>
          <w:i/>
        </w:rPr>
        <w:t xml:space="preserve">   </w:t>
      </w:r>
    </w:p>
    <w:p w:rsidR="006A429E" w:rsidRPr="006A429E" w:rsidRDefault="006A429E" w:rsidP="00FE2F58">
      <w:pPr>
        <w:spacing w:after="0" w:line="240" w:lineRule="auto"/>
        <w:rPr>
          <w:rFonts w:ascii="Times New Roman" w:eastAsia="Times New Roman" w:hAnsi="Times New Roman" w:cs="Times New Roman"/>
          <w:i/>
          <w:vertAlign w:val="superscript"/>
        </w:rPr>
      </w:pPr>
      <w:r w:rsidRPr="006A429E">
        <w:rPr>
          <w:rFonts w:ascii="Times New Roman" w:eastAsia="Times New Roman" w:hAnsi="Times New Roman" w:cs="Times New Roman"/>
          <w:i/>
          <w:vertAlign w:val="superscript"/>
        </w:rPr>
        <w:t>17</w:t>
      </w:r>
      <w:r w:rsidRPr="006A429E">
        <w:rPr>
          <w:rFonts w:ascii="Times New Roman" w:eastAsia="Times New Roman" w:hAnsi="Times New Roman" w:cs="Times New Roman"/>
          <w:i/>
        </w:rPr>
        <w:t>55-90 CT</w:t>
      </w:r>
      <w:proofErr w:type="gramStart"/>
      <w:r w:rsidRPr="006A429E">
        <w:rPr>
          <w:rFonts w:ascii="Times New Roman" w:eastAsia="Times New Roman" w:hAnsi="Times New Roman" w:cs="Times New Roman"/>
          <w:i/>
        </w:rPr>
        <w:t>-</w:t>
      </w:r>
      <w:proofErr w:type="spellStart"/>
      <w:r w:rsidRPr="006A429E">
        <w:rPr>
          <w:rFonts w:ascii="Times New Roman" w:eastAsia="Times New Roman" w:hAnsi="Times New Roman" w:cs="Times New Roman"/>
          <w:i/>
        </w:rPr>
        <w:t>Taxrptr</w:t>
      </w:r>
      <w:proofErr w:type="spellEnd"/>
      <w:r w:rsidRPr="006A429E">
        <w:rPr>
          <w:rFonts w:ascii="Times New Roman" w:eastAsia="Times New Roman" w:hAnsi="Times New Roman" w:cs="Times New Roman"/>
          <w:i/>
        </w:rPr>
        <w:t>-TB 200-320</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18</w:t>
      </w:r>
      <w:r w:rsidRPr="006A429E">
        <w:rPr>
          <w:rFonts w:ascii="Times New Roman" w:eastAsia="Times New Roman" w:hAnsi="Times New Roman" w:cs="Times New Roman"/>
          <w:i/>
        </w:rPr>
        <w:t>643 So.2d 1240</w:t>
      </w:r>
      <w:proofErr w:type="gramEnd"/>
    </w:p>
    <w:p w:rsidR="006A429E" w:rsidRPr="006A429E" w:rsidRDefault="006A429E" w:rsidP="00FE2F58">
      <w:pPr>
        <w:spacing w:after="0" w:line="240" w:lineRule="auto"/>
        <w:rPr>
          <w:rFonts w:ascii="Times New Roman" w:hAnsi="Times New Roman" w:cs="Times New Roman"/>
          <w:i/>
          <w:sz w:val="25"/>
          <w:szCs w:val="25"/>
        </w:rPr>
      </w:pPr>
      <w:proofErr w:type="gramStart"/>
      <w:r w:rsidRPr="006A429E">
        <w:rPr>
          <w:rFonts w:ascii="Times New Roman" w:eastAsia="Times New Roman" w:hAnsi="Times New Roman" w:cs="Times New Roman"/>
          <w:i/>
          <w:vertAlign w:val="superscript"/>
        </w:rPr>
        <w:t>19</w:t>
      </w:r>
      <w:r w:rsidRPr="006A429E">
        <w:rPr>
          <w:rFonts w:ascii="Times New Roman" w:eastAsia="Times New Roman" w:hAnsi="Times New Roman" w:cs="Times New Roman"/>
          <w:i/>
        </w:rPr>
        <w:t xml:space="preserve">(1977, </w:t>
      </w:r>
      <w:proofErr w:type="spellStart"/>
      <w:r w:rsidRPr="006A429E">
        <w:rPr>
          <w:rFonts w:ascii="Times New Roman" w:eastAsia="Times New Roman" w:hAnsi="Times New Roman" w:cs="Times New Roman"/>
          <w:i/>
        </w:rPr>
        <w:t>Ala</w:t>
      </w:r>
      <w:proofErr w:type="spellEnd"/>
      <w:r w:rsidRPr="006A429E">
        <w:rPr>
          <w:rFonts w:ascii="Times New Roman" w:eastAsia="Times New Roman" w:hAnsi="Times New Roman" w:cs="Times New Roman"/>
          <w:i/>
        </w:rPr>
        <w:t>) 349 So.</w:t>
      </w:r>
      <w:proofErr w:type="gramEnd"/>
      <w:r w:rsidRPr="006A429E">
        <w:rPr>
          <w:rFonts w:ascii="Times New Roman" w:eastAsia="Times New Roman" w:hAnsi="Times New Roman" w:cs="Times New Roman"/>
          <w:i/>
        </w:rPr>
        <w:t xml:space="preserve"> 2d 1160, 91 ALR 3d 274)</w:t>
      </w:r>
      <w:r w:rsidRPr="006A429E">
        <w:rPr>
          <w:rFonts w:ascii="Times New Roman" w:eastAsia="Times New Roman" w:hAnsi="Times New Roman" w:cs="Times New Roman"/>
          <w:i/>
        </w:rPr>
        <w:t xml:space="preserve">              </w:t>
      </w:r>
      <w:r w:rsidRPr="006A429E">
        <w:rPr>
          <w:rFonts w:ascii="Times New Roman" w:eastAsia="Times New Roman" w:hAnsi="Times New Roman" w:cs="Times New Roman"/>
          <w:i/>
          <w:vertAlign w:val="superscript"/>
        </w:rPr>
        <w:t>20</w:t>
      </w:r>
      <w:r w:rsidRPr="006A429E">
        <w:rPr>
          <w:rFonts w:ascii="Times New Roman" w:eastAsia="Times New Roman" w:hAnsi="Times New Roman" w:cs="Times New Roman"/>
          <w:i/>
        </w:rPr>
        <w:t>(2000) Connecticut Superior Court</w:t>
      </w:r>
    </w:p>
    <w:sectPr w:rsidR="006A429E" w:rsidRPr="006A42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7D0" w:rsidRDefault="00E357D0" w:rsidP="00DA0365">
      <w:pPr>
        <w:spacing w:after="0" w:line="240" w:lineRule="auto"/>
      </w:pPr>
      <w:r>
        <w:separator/>
      </w:r>
    </w:p>
  </w:endnote>
  <w:endnote w:type="continuationSeparator" w:id="0">
    <w:p w:rsidR="00E357D0" w:rsidRDefault="00E357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429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7D0" w:rsidRDefault="00E357D0" w:rsidP="00DA0365">
      <w:pPr>
        <w:spacing w:after="0" w:line="240" w:lineRule="auto"/>
      </w:pPr>
      <w:r>
        <w:separator/>
      </w:r>
    </w:p>
  </w:footnote>
  <w:footnote w:type="continuationSeparator" w:id="0">
    <w:p w:rsidR="00E357D0" w:rsidRDefault="00E357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485F"/>
    <w:rsid w:val="006A429E"/>
    <w:rsid w:val="008D320C"/>
    <w:rsid w:val="00DA0365"/>
    <w:rsid w:val="00E357D0"/>
    <w:rsid w:val="00ED325B"/>
    <w:rsid w:val="00EF38D0"/>
    <w:rsid w:val="00FE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48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2F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148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92378">
      <w:bodyDiv w:val="1"/>
      <w:marLeft w:val="0"/>
      <w:marRight w:val="0"/>
      <w:marTop w:val="0"/>
      <w:marBottom w:val="0"/>
      <w:divBdr>
        <w:top w:val="none" w:sz="0" w:space="0" w:color="auto"/>
        <w:left w:val="none" w:sz="0" w:space="0" w:color="auto"/>
        <w:bottom w:val="none" w:sz="0" w:space="0" w:color="auto"/>
        <w:right w:val="none" w:sz="0" w:space="0" w:color="auto"/>
      </w:divBdr>
      <w:divsChild>
        <w:div w:id="107493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2016-04-05T11:50:00Z</dcterms:modified>
</cp:coreProperties>
</file>