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249" w:rsidRDefault="00DB19A1" w:rsidP="00311249">
      <w:pPr>
        <w:pStyle w:val="NormalWeb"/>
        <w:spacing w:before="0" w:beforeAutospacing="0" w:after="0" w:afterAutospacing="0"/>
        <w:jc w:val="center"/>
        <w:rPr>
          <w:b/>
          <w:bCs/>
          <w:sz w:val="25"/>
          <w:szCs w:val="25"/>
        </w:rPr>
      </w:pPr>
      <w:bookmarkStart w:id="0" w:name="_GoBack"/>
      <w:bookmarkEnd w:id="0"/>
      <w:r w:rsidRPr="00311249">
        <w:rPr>
          <w:b/>
          <w:bCs/>
          <w:sz w:val="25"/>
          <w:szCs w:val="25"/>
        </w:rPr>
        <w:t>SUPREME COURT OF INDIA</w:t>
      </w:r>
    </w:p>
    <w:p w:rsidR="00311249" w:rsidRDefault="00311249" w:rsidP="00311249">
      <w:pPr>
        <w:pStyle w:val="NormalWeb"/>
        <w:spacing w:before="0" w:beforeAutospacing="0" w:after="0" w:afterAutospacing="0"/>
        <w:jc w:val="center"/>
        <w:rPr>
          <w:b/>
          <w:bCs/>
          <w:sz w:val="25"/>
          <w:szCs w:val="25"/>
        </w:rPr>
      </w:pPr>
    </w:p>
    <w:p w:rsidR="00311249" w:rsidRDefault="00311249" w:rsidP="00311249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proofErr w:type="spellStart"/>
      <w:r w:rsidRPr="00311249">
        <w:rPr>
          <w:sz w:val="25"/>
          <w:szCs w:val="25"/>
        </w:rPr>
        <w:t>Shashi</w:t>
      </w:r>
      <w:proofErr w:type="spellEnd"/>
      <w:r w:rsidRPr="00311249">
        <w:rPr>
          <w:sz w:val="25"/>
          <w:szCs w:val="25"/>
        </w:rPr>
        <w:t xml:space="preserve"> </w:t>
      </w:r>
      <w:proofErr w:type="spellStart"/>
      <w:r w:rsidRPr="00311249">
        <w:rPr>
          <w:sz w:val="25"/>
          <w:szCs w:val="25"/>
        </w:rPr>
        <w:t>Kapila</w:t>
      </w:r>
      <w:proofErr w:type="spellEnd"/>
    </w:p>
    <w:p w:rsidR="00311249" w:rsidRDefault="00311249" w:rsidP="00311249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311249" w:rsidRDefault="00DB19A1" w:rsidP="00311249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311249">
        <w:rPr>
          <w:sz w:val="25"/>
          <w:szCs w:val="25"/>
        </w:rPr>
        <w:t>Vs.</w:t>
      </w:r>
      <w:r w:rsidRPr="00311249">
        <w:rPr>
          <w:sz w:val="25"/>
          <w:szCs w:val="25"/>
        </w:rPr>
        <w:br/>
      </w:r>
      <w:r w:rsidRPr="00311249">
        <w:rPr>
          <w:sz w:val="25"/>
          <w:szCs w:val="25"/>
        </w:rPr>
        <w:br/>
        <w:t xml:space="preserve">R.P. </w:t>
      </w:r>
      <w:proofErr w:type="spellStart"/>
      <w:r w:rsidR="00311249" w:rsidRPr="00311249">
        <w:rPr>
          <w:sz w:val="25"/>
          <w:szCs w:val="25"/>
        </w:rPr>
        <w:t>Ashwin</w:t>
      </w:r>
      <w:proofErr w:type="spellEnd"/>
      <w:r w:rsidRPr="00311249">
        <w:rPr>
          <w:sz w:val="25"/>
          <w:szCs w:val="25"/>
        </w:rPr>
        <w:br/>
      </w:r>
    </w:p>
    <w:p w:rsidR="00311249" w:rsidRDefault="00311249" w:rsidP="00311249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>
        <w:rPr>
          <w:sz w:val="25"/>
          <w:szCs w:val="25"/>
        </w:rPr>
        <w:t>C.A.No.</w:t>
      </w:r>
      <w:r w:rsidRPr="00311249">
        <w:rPr>
          <w:sz w:val="25"/>
          <w:szCs w:val="25"/>
        </w:rPr>
        <w:t>7791 of 2001</w:t>
      </w:r>
    </w:p>
    <w:p w:rsidR="00311249" w:rsidRDefault="00DB19A1" w:rsidP="00311249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311249">
        <w:rPr>
          <w:sz w:val="25"/>
          <w:szCs w:val="25"/>
        </w:rPr>
        <w:br/>
      </w:r>
      <w:proofErr w:type="gramStart"/>
      <w:r w:rsidRPr="00311249">
        <w:rPr>
          <w:sz w:val="25"/>
          <w:szCs w:val="25"/>
        </w:rPr>
        <w:t xml:space="preserve">(K.T. Thomas </w:t>
      </w:r>
      <w:r w:rsidR="00311249">
        <w:rPr>
          <w:sz w:val="25"/>
          <w:szCs w:val="25"/>
        </w:rPr>
        <w:t xml:space="preserve">and </w:t>
      </w:r>
      <w:r w:rsidRPr="00311249">
        <w:rPr>
          <w:sz w:val="25"/>
          <w:szCs w:val="25"/>
        </w:rPr>
        <w:t xml:space="preserve">S.N. </w:t>
      </w:r>
      <w:proofErr w:type="spellStart"/>
      <w:r w:rsidRPr="00311249">
        <w:rPr>
          <w:sz w:val="25"/>
          <w:szCs w:val="25"/>
        </w:rPr>
        <w:t>Variava</w:t>
      </w:r>
      <w:proofErr w:type="spellEnd"/>
      <w:r w:rsidR="00311249">
        <w:rPr>
          <w:sz w:val="25"/>
          <w:szCs w:val="25"/>
        </w:rPr>
        <w:t xml:space="preserve"> JJ.</w:t>
      </w:r>
      <w:r w:rsidRPr="00311249">
        <w:rPr>
          <w:sz w:val="25"/>
          <w:szCs w:val="25"/>
        </w:rPr>
        <w:t>)</w:t>
      </w:r>
      <w:proofErr w:type="gramEnd"/>
      <w:r w:rsidRPr="00311249">
        <w:rPr>
          <w:sz w:val="25"/>
          <w:szCs w:val="25"/>
        </w:rPr>
        <w:br/>
      </w:r>
    </w:p>
    <w:p w:rsidR="00311249" w:rsidRDefault="00311249" w:rsidP="00311249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311249">
        <w:rPr>
          <w:sz w:val="25"/>
          <w:szCs w:val="25"/>
        </w:rPr>
        <w:t>08</w:t>
      </w:r>
      <w:r>
        <w:rPr>
          <w:sz w:val="25"/>
          <w:szCs w:val="25"/>
        </w:rPr>
        <w:t>.</w:t>
      </w:r>
      <w:r w:rsidRPr="00311249">
        <w:rPr>
          <w:sz w:val="25"/>
          <w:szCs w:val="25"/>
        </w:rPr>
        <w:t>11</w:t>
      </w:r>
      <w:r>
        <w:rPr>
          <w:sz w:val="25"/>
          <w:szCs w:val="25"/>
        </w:rPr>
        <w:t>.</w:t>
      </w:r>
      <w:r w:rsidRPr="00311249">
        <w:rPr>
          <w:sz w:val="25"/>
          <w:szCs w:val="25"/>
        </w:rPr>
        <w:t>2001</w:t>
      </w:r>
      <w:r w:rsidRPr="00311249">
        <w:rPr>
          <w:sz w:val="25"/>
          <w:szCs w:val="25"/>
        </w:rPr>
        <w:br/>
      </w:r>
      <w:r w:rsidR="00DB19A1" w:rsidRPr="00311249">
        <w:rPr>
          <w:sz w:val="25"/>
          <w:szCs w:val="25"/>
        </w:rPr>
        <w:br/>
      </w:r>
      <w:r w:rsidR="00DB19A1" w:rsidRPr="00311249">
        <w:rPr>
          <w:b/>
          <w:bCs/>
          <w:sz w:val="25"/>
          <w:szCs w:val="25"/>
        </w:rPr>
        <w:t>JUDGMENT</w:t>
      </w:r>
      <w:r w:rsidR="00DB19A1" w:rsidRPr="00311249">
        <w:rPr>
          <w:sz w:val="25"/>
          <w:szCs w:val="25"/>
        </w:rPr>
        <w:br/>
      </w:r>
      <w:r w:rsidR="00DB19A1" w:rsidRPr="00311249">
        <w:rPr>
          <w:sz w:val="25"/>
          <w:szCs w:val="25"/>
        </w:rPr>
        <w:br/>
      </w:r>
      <w:r w:rsidR="00DB19A1" w:rsidRPr="00311249">
        <w:rPr>
          <w:sz w:val="25"/>
          <w:szCs w:val="25"/>
        </w:rPr>
        <w:br/>
      </w:r>
    </w:p>
    <w:p w:rsidR="00311249" w:rsidRPr="00311249" w:rsidRDefault="00311249" w:rsidP="00311249">
      <w:pPr>
        <w:pStyle w:val="NormalWeb"/>
        <w:spacing w:before="0" w:beforeAutospacing="0" w:after="0" w:afterAutospacing="0"/>
        <w:rPr>
          <w:b/>
          <w:sz w:val="25"/>
          <w:szCs w:val="25"/>
        </w:rPr>
      </w:pPr>
      <w:r w:rsidRPr="00311249">
        <w:rPr>
          <w:b/>
          <w:sz w:val="25"/>
          <w:szCs w:val="25"/>
        </w:rPr>
        <w:t>K.T. Thomas</w:t>
      </w:r>
      <w:r w:rsidR="00DB19A1" w:rsidRPr="00311249">
        <w:rPr>
          <w:b/>
          <w:sz w:val="25"/>
          <w:szCs w:val="25"/>
        </w:rPr>
        <w:t>, J.</w:t>
      </w:r>
    </w:p>
    <w:p w:rsidR="00311249" w:rsidRDefault="00311249" w:rsidP="00311249">
      <w:pPr>
        <w:pStyle w:val="NormalWeb"/>
        <w:spacing w:before="0" w:beforeAutospacing="0" w:after="0" w:afterAutospacing="0"/>
        <w:rPr>
          <w:sz w:val="25"/>
          <w:szCs w:val="25"/>
        </w:rPr>
      </w:pPr>
    </w:p>
    <w:p w:rsidR="00DB19A1" w:rsidRPr="00311249" w:rsidRDefault="00DB19A1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11249">
        <w:rPr>
          <w:sz w:val="25"/>
          <w:szCs w:val="25"/>
        </w:rPr>
        <w:t>1. Leave granted.</w:t>
      </w:r>
    </w:p>
    <w:p w:rsidR="00311249" w:rsidRDefault="00311249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DB19A1" w:rsidRPr="00311249" w:rsidRDefault="00DB19A1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11249">
        <w:rPr>
          <w:sz w:val="25"/>
          <w:szCs w:val="25"/>
        </w:rPr>
        <w:t xml:space="preserve">2. The tenant of a residential building, situate at </w:t>
      </w:r>
      <w:proofErr w:type="spellStart"/>
      <w:r w:rsidRPr="00311249">
        <w:rPr>
          <w:sz w:val="25"/>
          <w:szCs w:val="25"/>
        </w:rPr>
        <w:t>Jayamahal</w:t>
      </w:r>
      <w:proofErr w:type="spellEnd"/>
      <w:r w:rsidRPr="00311249">
        <w:rPr>
          <w:sz w:val="25"/>
          <w:szCs w:val="25"/>
        </w:rPr>
        <w:t xml:space="preserve"> Extension, Bangalore who has been occupying it for nearly quarter of a century is now at the peril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 xml:space="preserve">of being evacuated therefrom by his landlord. To resist the action launched by the landlord for evicting the tenant he has adopted a </w:t>
      </w:r>
      <w:proofErr w:type="spellStart"/>
      <w:r w:rsidRPr="00311249">
        <w:rPr>
          <w:sz w:val="25"/>
          <w:szCs w:val="25"/>
        </w:rPr>
        <w:t>defence</w:t>
      </w:r>
      <w:proofErr w:type="spellEnd"/>
      <w:r w:rsidRPr="00311249">
        <w:rPr>
          <w:sz w:val="25"/>
          <w:szCs w:val="25"/>
        </w:rPr>
        <w:t xml:space="preserve"> that his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 xml:space="preserve">continuation in the building from April 1986 onwards was under a separate </w:t>
      </w:r>
      <w:proofErr w:type="spellStart"/>
      <w:r w:rsidRPr="00311249">
        <w:rPr>
          <w:sz w:val="25"/>
          <w:szCs w:val="25"/>
        </w:rPr>
        <w:t>jural</w:t>
      </w:r>
      <w:proofErr w:type="spellEnd"/>
      <w:r w:rsidRPr="00311249">
        <w:rPr>
          <w:sz w:val="25"/>
          <w:szCs w:val="25"/>
        </w:rPr>
        <w:t xml:space="preserve"> linkage on account of an agreement of sale executed by the landlord. But the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said line of resistance did not succeed thus far. The partial relief he secured from the High Court, as per the impugned order, was not enough to thwart the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 xml:space="preserve">impending eviction hence the tenant has filed the appeal by special leave. </w:t>
      </w:r>
    </w:p>
    <w:p w:rsidR="00DB19A1" w:rsidRPr="00311249" w:rsidRDefault="00DB19A1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11249">
        <w:rPr>
          <w:sz w:val="25"/>
          <w:szCs w:val="25"/>
        </w:rPr>
        <w:t> </w:t>
      </w:r>
    </w:p>
    <w:p w:rsidR="00DB19A1" w:rsidRDefault="00DB19A1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11249">
        <w:rPr>
          <w:sz w:val="25"/>
          <w:szCs w:val="25"/>
        </w:rPr>
        <w:t>3. The respondent landlord applied for an order of eviction of the appellant on two grounds envisaged under Section 21(1) of the Karnataka Rent Control Act.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 xml:space="preserve">One was on the allegation that the tenant </w:t>
      </w:r>
      <w:proofErr w:type="gramStart"/>
      <w:r w:rsidRPr="00311249">
        <w:rPr>
          <w:sz w:val="25"/>
          <w:szCs w:val="25"/>
        </w:rPr>
        <w:t>defaulted</w:t>
      </w:r>
      <w:proofErr w:type="gramEnd"/>
      <w:r w:rsidRPr="00311249">
        <w:rPr>
          <w:sz w:val="25"/>
          <w:szCs w:val="25"/>
        </w:rPr>
        <w:t xml:space="preserve"> paying rent of the building for a few months and the other was that the landlord himself requires the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building bona fide for his own occupation. Though the Rent Control Court (the Court of Small Causes Judge, Bangalore) granted the order of eviction on both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 xml:space="preserve">grounds the High Court, in revision, restricted the order to the ground of bona fide need of the landlord. </w:t>
      </w:r>
    </w:p>
    <w:p w:rsidR="00311249" w:rsidRPr="00311249" w:rsidRDefault="00311249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DB19A1" w:rsidRDefault="00DB19A1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11249">
        <w:rPr>
          <w:sz w:val="25"/>
          <w:szCs w:val="25"/>
        </w:rPr>
        <w:t>4. According to the appellant, the landlord had entered into an agreement on 17.4.1986 with a firm by name M/s Shiva and Co. of which the appellant is one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 xml:space="preserve">of the partners as per which the landlord had agreed to sell the building for a sale consideration of Rupees twelve </w:t>
      </w:r>
      <w:proofErr w:type="spellStart"/>
      <w:r w:rsidRPr="00311249">
        <w:rPr>
          <w:sz w:val="25"/>
          <w:szCs w:val="25"/>
        </w:rPr>
        <w:t>lacs</w:t>
      </w:r>
      <w:proofErr w:type="spellEnd"/>
      <w:r w:rsidRPr="00311249">
        <w:rPr>
          <w:sz w:val="25"/>
          <w:szCs w:val="25"/>
        </w:rPr>
        <w:t>, within three months of the said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date, and a sum of Rupees one lac had already been received by the landlord as advance amount. On the strength of the said agreement appellant sought to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non-suit the landlord.</w:t>
      </w:r>
    </w:p>
    <w:p w:rsidR="00311249" w:rsidRPr="00311249" w:rsidRDefault="00311249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DB19A1" w:rsidRDefault="00DB19A1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11249">
        <w:rPr>
          <w:sz w:val="25"/>
          <w:szCs w:val="25"/>
        </w:rPr>
        <w:t>5. The Rent Control Court did not accept the above contention. The court found that the landlord made out both the grounds and hence the order of eviction</w:t>
      </w:r>
      <w:r w:rsidRPr="00311249">
        <w:rPr>
          <w:sz w:val="25"/>
          <w:szCs w:val="25"/>
        </w:rPr>
        <w:br/>
        <w:t>was passed. The High Court concurred with the Rent Control Court in respect of the ground of bona fide need of the landlord. The following is what the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 xml:space="preserve">learned single judge of the High Court has stated about it: </w:t>
      </w:r>
    </w:p>
    <w:p w:rsidR="00311249" w:rsidRPr="00311249" w:rsidRDefault="00311249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311249" w:rsidRDefault="00DB19A1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11249">
        <w:rPr>
          <w:sz w:val="25"/>
          <w:szCs w:val="25"/>
        </w:rPr>
        <w:t>6. The contention of the learned counsel for the petitioner that he is in permissive possession as an agreement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holder and not as a tenant is difficult to accept. He has produced Ex.R.1, a copy of the sale agreement which shows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 xml:space="preserve">that the respondent-landlord has entered into an agreement with a firm represented by Mr. </w:t>
      </w:r>
      <w:r w:rsidR="00311249">
        <w:rPr>
          <w:sz w:val="25"/>
          <w:szCs w:val="25"/>
        </w:rPr>
        <w:t xml:space="preserve"> </w:t>
      </w:r>
      <w:proofErr w:type="spellStart"/>
      <w:r w:rsidRPr="00311249">
        <w:rPr>
          <w:sz w:val="25"/>
          <w:szCs w:val="25"/>
        </w:rPr>
        <w:t>Yati</w:t>
      </w:r>
      <w:proofErr w:type="spellEnd"/>
      <w:r w:rsidRPr="00311249">
        <w:rPr>
          <w:sz w:val="25"/>
          <w:szCs w:val="25"/>
        </w:rPr>
        <w:t xml:space="preserve"> Kumar. There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is no evidence on record to show that the present petitioner is a part of M/s. Shiva and Co. The lease agreement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produced by the parties in those proceedings disclosed that the premises had been taken on lease by the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petitioner himself and not by the company. I have perused the terms and conditions of the sale agreement.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 xml:space="preserve">There is no term or agreement between the parties </w:t>
      </w:r>
      <w:proofErr w:type="spellStart"/>
      <w:r w:rsidRPr="00311249">
        <w:rPr>
          <w:sz w:val="25"/>
          <w:szCs w:val="25"/>
        </w:rPr>
        <w:t>recognising</w:t>
      </w:r>
      <w:proofErr w:type="spellEnd"/>
      <w:r w:rsidRPr="00311249">
        <w:rPr>
          <w:sz w:val="25"/>
          <w:szCs w:val="25"/>
        </w:rPr>
        <w:t xml:space="preserve"> the present petitioner as an agreement holder and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not as a tenant and therefore it is difficult to accept his submission that the petitioner is no longer a tenant of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the petition premises.</w:t>
      </w:r>
    </w:p>
    <w:p w:rsidR="00DB19A1" w:rsidRDefault="00DB19A1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11249">
        <w:rPr>
          <w:sz w:val="25"/>
          <w:szCs w:val="25"/>
        </w:rPr>
        <w:br/>
        <w:t xml:space="preserve">7. Sri </w:t>
      </w:r>
      <w:proofErr w:type="spellStart"/>
      <w:r w:rsidRPr="00311249">
        <w:rPr>
          <w:sz w:val="25"/>
          <w:szCs w:val="25"/>
        </w:rPr>
        <w:t>Sudhir</w:t>
      </w:r>
      <w:proofErr w:type="spellEnd"/>
      <w:r w:rsidRPr="00311249">
        <w:rPr>
          <w:sz w:val="25"/>
          <w:szCs w:val="25"/>
        </w:rPr>
        <w:t xml:space="preserve"> Chandra, learned Senior Counsel adopted a twin contention on the basis of the agreement dated 17.4.1986. First is that the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appellant can lawfully resist the eviction of the landlord on the strength of Section 53A of the Transfer of Property Act. Second is that the said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agreement is enough to nullify the bona fides of the claim of the landlord that he requires the building for his own occupation. According to the learned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Senior Counsel the agreement reflects the intention of the landlord to part with his rights in the building and hence the ground urged for eviction is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inconsistent with the desire limned in the agreement.</w:t>
      </w:r>
    </w:p>
    <w:p w:rsidR="00311249" w:rsidRPr="00311249" w:rsidRDefault="00311249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DB19A1" w:rsidRDefault="00DB19A1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11249">
        <w:rPr>
          <w:sz w:val="25"/>
          <w:szCs w:val="25"/>
        </w:rPr>
        <w:t>8. While dealing with the first contention, a reference has to be made to Section 53A of the Transfer of Property Act. It applies to a person who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contracts to transfer immovable property in writing. If the proposed transferee in the agreement has taken possession of the property, or he continues in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possession thereof being already in possession, in part performance of the contract and has done some act in furtherance of the contract, and transferee has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performed or is willing to perform his part of the contract, the transferor shall be debarred from enforcing any right in respect of the property. This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 xml:space="preserve">is the kernel of the principle incorporated in Section 53A of the Transfer of Property Act. </w:t>
      </w:r>
    </w:p>
    <w:p w:rsidR="00311249" w:rsidRPr="00311249" w:rsidRDefault="00311249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DB19A1" w:rsidRDefault="00DB19A1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11249">
        <w:rPr>
          <w:sz w:val="25"/>
          <w:szCs w:val="25"/>
        </w:rPr>
        <w:t>9. The agreement dated 17.4.1986 was between the respondent landlord on the one part and M/s Shiva and Co. on the other part. The hurdle which the appellant has to surmount initially was to show that he was a partner of the firm M/s Shiva and Co. We will assume</w:t>
      </w:r>
      <w:proofErr w:type="gramStart"/>
      <w:r w:rsidRPr="00311249">
        <w:rPr>
          <w:sz w:val="25"/>
          <w:szCs w:val="25"/>
        </w:rPr>
        <w:t>,</w:t>
      </w:r>
      <w:proofErr w:type="gramEnd"/>
      <w:r w:rsidRPr="00311249">
        <w:rPr>
          <w:sz w:val="25"/>
          <w:szCs w:val="25"/>
        </w:rPr>
        <w:br/>
        <w:t>for the present, that he was a partner and hence for all practical purposes he could also represent the firm. Of course, the agreement is totally silent of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the fact that appellant was partner of M/s Shiva and Co. Even assuming that he was a partner thereof it is legally impermissible for him to individually claim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 xml:space="preserve">all the rights of the firm. Nor can he project himself as a transferee under the agreement. </w:t>
      </w:r>
    </w:p>
    <w:p w:rsidR="00311249" w:rsidRPr="00311249" w:rsidRDefault="00311249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DB19A1" w:rsidRDefault="00DB19A1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11249">
        <w:rPr>
          <w:sz w:val="25"/>
          <w:szCs w:val="25"/>
        </w:rPr>
        <w:lastRenderedPageBreak/>
        <w:t>10. A partnership firm is an association of persons. But in spite of that unity between themselves, every partner can have his own separate existence from the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firm. Any right which a partner has over any property, other than the partnership property, would remain as his individual asset. The mere fact that the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particular person has chosen to include himself as a partner of a firm will not result in incorporation of all his individual properties as the assets of the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 xml:space="preserve">partnership. Section 14 of the </w:t>
      </w:r>
      <w:r w:rsidRPr="00311249">
        <w:rPr>
          <w:i/>
          <w:sz w:val="25"/>
          <w:szCs w:val="25"/>
        </w:rPr>
        <w:t>Indian Partnership Act 193</w:t>
      </w:r>
      <w:r w:rsidRPr="00311249">
        <w:rPr>
          <w:sz w:val="25"/>
          <w:szCs w:val="25"/>
        </w:rPr>
        <w:t>2 says: Subject to contract between the partners, the property of the firm includes all property and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rights and interests in property originally brought into the stock of the firm, or acquired, by purchase or otherwise, by or for the firm, or for the purposes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 xml:space="preserve">and in the course of the business of the firm, and includes also the goodwill of the business. </w:t>
      </w:r>
    </w:p>
    <w:p w:rsidR="00311249" w:rsidRPr="00311249" w:rsidRDefault="00311249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311249" w:rsidRDefault="00DB19A1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11249">
        <w:rPr>
          <w:sz w:val="25"/>
          <w:szCs w:val="25"/>
        </w:rPr>
        <w:t>11. Here it is an admitted fact that appellant was a tenant of the building even earlier than the formation of the firm M/s Shiva and Co. In such a situation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the tenancy right of the appellant in respect of the building is a separate right available to the appellant individually over which the partnership has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no claim. Appellant never contended that he had offered the suit property as an asset of the partnership firm. Nor did the firm at any time claim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that appellant threw the tenancy right over the building into the hotchpot of the partnership at any time. On the contrary, the agreement has taken care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that the building is in the personal possession of the appellant. The following recital in the agreement would bear testimony for it:</w:t>
      </w:r>
    </w:p>
    <w:p w:rsidR="00DB19A1" w:rsidRPr="00311249" w:rsidRDefault="00DB19A1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11249">
        <w:rPr>
          <w:sz w:val="25"/>
          <w:szCs w:val="25"/>
        </w:rPr>
        <w:br/>
        <w:t>12. The purchaser is aware that the tenant is in possession of the said premises and after the purchaser he must obtain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the possession of the said premises in due course at his own cost and responsibilities. The seller does not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hold himself responsible in any way to get him vacant possession. In fact, the purchaser has agreed to take up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this responsibility.</w:t>
      </w:r>
    </w:p>
    <w:p w:rsidR="00311249" w:rsidRDefault="00DB19A1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11249">
        <w:rPr>
          <w:sz w:val="25"/>
          <w:szCs w:val="25"/>
        </w:rPr>
        <w:br/>
        <w:t xml:space="preserve">13. Even that apart, when a suit was filed by M/s Shiva and Co. for specific performance of the agreement dated 17.4.1986 the </w:t>
      </w:r>
      <w:proofErr w:type="gramStart"/>
      <w:r w:rsidRPr="00311249">
        <w:rPr>
          <w:sz w:val="25"/>
          <w:szCs w:val="25"/>
        </w:rPr>
        <w:t>firm made it abundantly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clear</w:t>
      </w:r>
      <w:proofErr w:type="gramEnd"/>
      <w:r w:rsidRPr="00311249">
        <w:rPr>
          <w:sz w:val="25"/>
          <w:szCs w:val="25"/>
        </w:rPr>
        <w:t xml:space="preserve"> in the plaint itself that appellants right in the building as a tenant is in his personal capacity and not as a partner of the firm. The relevant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portion of the plaint is extracted below:</w:t>
      </w:r>
    </w:p>
    <w:p w:rsidR="00311249" w:rsidRDefault="00DB19A1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11249">
        <w:rPr>
          <w:sz w:val="25"/>
          <w:szCs w:val="25"/>
        </w:rPr>
        <w:br/>
        <w:t xml:space="preserve">14. The suit schedule property, at </w:t>
      </w:r>
      <w:proofErr w:type="spellStart"/>
      <w:r w:rsidRPr="00311249">
        <w:rPr>
          <w:sz w:val="25"/>
          <w:szCs w:val="25"/>
        </w:rPr>
        <w:t>thes</w:t>
      </w:r>
      <w:proofErr w:type="spellEnd"/>
      <w:r w:rsidRPr="00311249">
        <w:rPr>
          <w:sz w:val="25"/>
          <w:szCs w:val="25"/>
        </w:rPr>
        <w:t xml:space="preserve"> time of agreement of sale, was in the occupation of Mr. </w:t>
      </w:r>
      <w:proofErr w:type="spellStart"/>
      <w:r w:rsidRPr="00311249">
        <w:rPr>
          <w:sz w:val="25"/>
          <w:szCs w:val="25"/>
        </w:rPr>
        <w:t>Shashi</w:t>
      </w:r>
      <w:proofErr w:type="spellEnd"/>
      <w:r w:rsidRPr="00311249">
        <w:rPr>
          <w:sz w:val="25"/>
          <w:szCs w:val="25"/>
        </w:rPr>
        <w:t xml:space="preserve"> </w:t>
      </w:r>
      <w:proofErr w:type="spellStart"/>
      <w:r w:rsidRPr="00311249">
        <w:rPr>
          <w:sz w:val="25"/>
          <w:szCs w:val="25"/>
        </w:rPr>
        <w:t>Kapila</w:t>
      </w:r>
      <w:proofErr w:type="spellEnd"/>
      <w:r w:rsidRPr="00311249">
        <w:rPr>
          <w:sz w:val="25"/>
          <w:szCs w:val="25"/>
        </w:rPr>
        <w:t xml:space="preserve"> in his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personal capacity. Hence it is agreed that the defendant would not be responsible to place the plaintiff in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vacant possession of the suit property and the plaintiff agreed for the same. The suit schedule property continues to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 xml:space="preserve">be tenanted by Mr. </w:t>
      </w:r>
      <w:proofErr w:type="spellStart"/>
      <w:r w:rsidRPr="00311249">
        <w:rPr>
          <w:sz w:val="25"/>
          <w:szCs w:val="25"/>
        </w:rPr>
        <w:t>Shahi</w:t>
      </w:r>
      <w:proofErr w:type="spellEnd"/>
      <w:r w:rsidRPr="00311249">
        <w:rPr>
          <w:sz w:val="25"/>
          <w:szCs w:val="25"/>
        </w:rPr>
        <w:t xml:space="preserve"> </w:t>
      </w:r>
      <w:proofErr w:type="spellStart"/>
      <w:r w:rsidRPr="00311249">
        <w:rPr>
          <w:sz w:val="25"/>
          <w:szCs w:val="25"/>
        </w:rPr>
        <w:t>Kapila</w:t>
      </w:r>
      <w:proofErr w:type="spellEnd"/>
      <w:r w:rsidRPr="00311249">
        <w:rPr>
          <w:sz w:val="25"/>
          <w:szCs w:val="25"/>
        </w:rPr>
        <w:t xml:space="preserve"> in his personal capacity who is also one the partners of the plaintiffs firm.</w:t>
      </w:r>
    </w:p>
    <w:p w:rsidR="00DB19A1" w:rsidRDefault="00DB19A1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11249">
        <w:rPr>
          <w:sz w:val="25"/>
          <w:szCs w:val="25"/>
        </w:rPr>
        <w:br/>
        <w:t xml:space="preserve">(Mr. </w:t>
      </w:r>
      <w:proofErr w:type="spellStart"/>
      <w:r w:rsidRPr="00311249">
        <w:rPr>
          <w:sz w:val="25"/>
          <w:szCs w:val="25"/>
        </w:rPr>
        <w:t>Shashi</w:t>
      </w:r>
      <w:proofErr w:type="spellEnd"/>
      <w:r w:rsidRPr="00311249">
        <w:rPr>
          <w:sz w:val="25"/>
          <w:szCs w:val="25"/>
        </w:rPr>
        <w:t xml:space="preserve"> </w:t>
      </w:r>
      <w:proofErr w:type="spellStart"/>
      <w:r w:rsidRPr="00311249">
        <w:rPr>
          <w:sz w:val="25"/>
          <w:szCs w:val="25"/>
        </w:rPr>
        <w:t>Kapila</w:t>
      </w:r>
      <w:proofErr w:type="spellEnd"/>
      <w:r w:rsidRPr="00311249">
        <w:rPr>
          <w:sz w:val="25"/>
          <w:szCs w:val="25"/>
        </w:rPr>
        <w:t xml:space="preserve">, mentioned in the above portion, is the appellant in this case). </w:t>
      </w:r>
    </w:p>
    <w:p w:rsidR="00311249" w:rsidRPr="00311249" w:rsidRDefault="00311249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DB19A1" w:rsidRDefault="00DB19A1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11249">
        <w:rPr>
          <w:sz w:val="25"/>
          <w:szCs w:val="25"/>
        </w:rPr>
        <w:t>15. Thus the appellant cannot lay any claim on the strength of Section 53A of the Transfer of Property Act, even assuming that the agreement is still binding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on the parties thereto.</w:t>
      </w:r>
    </w:p>
    <w:p w:rsidR="00311249" w:rsidRPr="00311249" w:rsidRDefault="00311249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311249" w:rsidRDefault="00DB19A1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11249">
        <w:rPr>
          <w:sz w:val="25"/>
          <w:szCs w:val="25"/>
        </w:rPr>
        <w:t xml:space="preserve">16. The second limb of the contention is that when the landlord himself had agreed to transfer his rights to others, such a stance is </w:t>
      </w:r>
      <w:proofErr w:type="spellStart"/>
      <w:r w:rsidRPr="00311249">
        <w:rPr>
          <w:sz w:val="25"/>
          <w:szCs w:val="25"/>
        </w:rPr>
        <w:t>negatory</w:t>
      </w:r>
      <w:proofErr w:type="spellEnd"/>
      <w:r w:rsidRPr="00311249">
        <w:rPr>
          <w:sz w:val="25"/>
          <w:szCs w:val="25"/>
        </w:rPr>
        <w:t xml:space="preserve"> to his claim that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he genuinely needs the building for his own occupation. At the first blush the argument appeared forceful because the bona fides of the landlords need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 xml:space="preserve">could possibly get eclipsed when the landlord himself </w:t>
      </w:r>
      <w:r w:rsidRPr="00311249">
        <w:rPr>
          <w:sz w:val="25"/>
          <w:szCs w:val="25"/>
        </w:rPr>
        <w:lastRenderedPageBreak/>
        <w:t>wanted his rights in the building to be alienated to other persons. But when we delved into the matter we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found that genuineness of the landlords need remains unimpaired despite his earlier inclination to sell the building. We shall now state the reasons.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We pointed out above that the agreement to sell was executed on 17.4.1986. It has been stipulated therein that the sale deed should be executed and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registered within three months from the said date. It is the admitted case that the sale deed was not executed within that time. The landlord filed a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petition for eviction only 6 years thereafter. In the petition for eviction he has stated that he was residing at Mysore and he shifted his residence to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Bangalore and has been staying in a temporary accommodation as the building belonging to another person was given for his occupation. He further said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that he is unable to continue in the said building for various reasons. It is not disputed that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the landlord is now residing in the building belonging to somebody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else.</w:t>
      </w:r>
    </w:p>
    <w:p w:rsidR="00311249" w:rsidRDefault="00DB19A1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11249">
        <w:rPr>
          <w:sz w:val="25"/>
          <w:szCs w:val="25"/>
        </w:rPr>
        <w:br/>
        <w:t>17. M/s. Shiva &amp; Co. had filed a suit in 1986 for specific performance of the agreement. The said suit was vehemently resisted by the landlord. At some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point of time the said suit was withdrawn by the firm and later in 1989 the same firm filed a second suit for specific performance of the agreement dated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17.4.1986. Landlord opposed the second suit also on all grounds. He contended, inter alia, that the agreement itself could not be acted on as he was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 xml:space="preserve">deceived by Mr. </w:t>
      </w:r>
      <w:proofErr w:type="spellStart"/>
      <w:r w:rsidRPr="00311249">
        <w:rPr>
          <w:sz w:val="25"/>
          <w:szCs w:val="25"/>
        </w:rPr>
        <w:t>Yati</w:t>
      </w:r>
      <w:proofErr w:type="spellEnd"/>
      <w:r w:rsidRPr="00311249">
        <w:rPr>
          <w:sz w:val="25"/>
          <w:szCs w:val="25"/>
        </w:rPr>
        <w:t xml:space="preserve"> Kumar who represented the firm and it was never disclosed to the landlord that the appellant was a partner of that firm. At any rate, it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was clear beyond doubt that the landlord was totally opposed to the performance of the terms of the agreement dated 17.4.1986. That stand of the landlord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was proclaimed long before he launched the present litigation for eviction of the appellant on the ground of his need to occupy the building. The above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developments would indicate that the need of the landlord for occupying the suit building arose only long after 17.4.1986. Therefore, he cannot be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preempted from claiming the relief merely on the ground that six years prior to it he was willing to sell the building. Hence, we are unable to agree with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the contention of the appellant that the landlord can be non-suited on the basis of the afore-mentioned agreement.</w:t>
      </w:r>
      <w:r w:rsidR="00311249">
        <w:rPr>
          <w:sz w:val="25"/>
          <w:szCs w:val="25"/>
        </w:rPr>
        <w:t xml:space="preserve"> </w:t>
      </w:r>
    </w:p>
    <w:p w:rsidR="00DB19A1" w:rsidRDefault="00DB19A1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11249">
        <w:rPr>
          <w:sz w:val="25"/>
          <w:szCs w:val="25"/>
        </w:rPr>
        <w:br/>
        <w:t xml:space="preserve">18. Learned senior counsel for the appellant relied on the decision of this Court in </w:t>
      </w:r>
      <w:r w:rsidRPr="00311249">
        <w:rPr>
          <w:i/>
          <w:sz w:val="25"/>
          <w:szCs w:val="25"/>
        </w:rPr>
        <w:t xml:space="preserve">P. </w:t>
      </w:r>
      <w:proofErr w:type="spellStart"/>
      <w:r w:rsidRPr="00311249">
        <w:rPr>
          <w:i/>
          <w:sz w:val="25"/>
          <w:szCs w:val="25"/>
        </w:rPr>
        <w:t>Veerappa</w:t>
      </w:r>
      <w:proofErr w:type="spellEnd"/>
      <w:r w:rsidRPr="00311249">
        <w:rPr>
          <w:i/>
          <w:sz w:val="25"/>
          <w:szCs w:val="25"/>
        </w:rPr>
        <w:t xml:space="preserve"> vs. M.A. Mohammad Amanulla</w:t>
      </w:r>
      <w:r w:rsidR="00311249" w:rsidRPr="00311249">
        <w:rPr>
          <w:i/>
          <w:sz w:val="25"/>
          <w:szCs w:val="25"/>
          <w:vertAlign w:val="superscript"/>
        </w:rPr>
        <w:t>1</w:t>
      </w:r>
      <w:r w:rsidRPr="00311249">
        <w:rPr>
          <w:sz w:val="25"/>
          <w:szCs w:val="25"/>
        </w:rPr>
        <w:t xml:space="preserve"> in support of his contention that the agreement would foreclose the landlords claim that he needs the building bona fide</w:t>
      </w:r>
      <w:r w:rsidRPr="00311249">
        <w:rPr>
          <w:sz w:val="25"/>
          <w:szCs w:val="25"/>
        </w:rPr>
        <w:br/>
        <w:t>for his own use. The following passage in the judgment is enough to show that the said decision is of no use to the appellant:</w:t>
      </w:r>
    </w:p>
    <w:p w:rsidR="00311249" w:rsidRPr="00311249" w:rsidRDefault="00311249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DB19A1" w:rsidRDefault="00DB19A1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11249">
        <w:rPr>
          <w:sz w:val="25"/>
          <w:szCs w:val="25"/>
        </w:rPr>
        <w:t>19. So long as the agreement subsists, it is settled law that the lesser right of tenancy stood merged with larger rights accrued under the agreement. But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 xml:space="preserve">unfortunately in the compromise itself it was </w:t>
      </w:r>
      <w:proofErr w:type="spellStart"/>
      <w:r w:rsidRPr="00311249">
        <w:rPr>
          <w:sz w:val="25"/>
          <w:szCs w:val="25"/>
        </w:rPr>
        <w:t>recognised</w:t>
      </w:r>
      <w:proofErr w:type="spellEnd"/>
      <w:r w:rsidRPr="00311249">
        <w:rPr>
          <w:sz w:val="25"/>
          <w:szCs w:val="25"/>
        </w:rPr>
        <w:t xml:space="preserve"> that the appellant was to pay arrears of rent till the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 xml:space="preserve">date of compromise. In other words, the appellant </w:t>
      </w:r>
      <w:proofErr w:type="spellStart"/>
      <w:r w:rsidRPr="00311249">
        <w:rPr>
          <w:sz w:val="25"/>
          <w:szCs w:val="25"/>
        </w:rPr>
        <w:t>recognised</w:t>
      </w:r>
      <w:proofErr w:type="spellEnd"/>
      <w:r w:rsidRPr="00311249">
        <w:rPr>
          <w:sz w:val="25"/>
          <w:szCs w:val="25"/>
        </w:rPr>
        <w:t xml:space="preserve"> the reversion to his pre-existing rights as tenant up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to the date of the compromise. In other words, subject to compliance of the terms of the contract, his tenancy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rights continued. The terms have not been complied with and the agreement came to an end. Thereby, the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appellants pre-existing rights as a tenant stood revived and the appellant and the respondent were bound by the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relationship of landlord and tenant.</w:t>
      </w:r>
    </w:p>
    <w:p w:rsidR="00311249" w:rsidRPr="00311249" w:rsidRDefault="00311249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311249" w:rsidRDefault="00DB19A1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11249">
        <w:rPr>
          <w:sz w:val="25"/>
          <w:szCs w:val="25"/>
        </w:rPr>
        <w:lastRenderedPageBreak/>
        <w:t>20. We do not find any merit in any of the contentions of the appellant and hence we dismiss this appeal. However, time for vacating the building would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stand extended by six months from today on condition that appellant gives an unconditional undertaking in this Court in the form of an affidavit, within three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weeks, that he would vacate the building and put the landlord in possession thereof on or before the expiry of six months from today. If the said undertaking is</w:t>
      </w:r>
      <w:r w:rsidR="00311249">
        <w:rPr>
          <w:sz w:val="25"/>
          <w:szCs w:val="25"/>
        </w:rPr>
        <w:t xml:space="preserve"> </w:t>
      </w:r>
      <w:r w:rsidRPr="00311249">
        <w:rPr>
          <w:sz w:val="25"/>
          <w:szCs w:val="25"/>
        </w:rPr>
        <w:t>not furnished within the time mentioned above, appellant will forfeit the benefit for extension of time to vacate. Appeal is thus disposed of.</w:t>
      </w:r>
    </w:p>
    <w:p w:rsidR="00DB19A1" w:rsidRPr="00311249" w:rsidRDefault="00DB19A1" w:rsidP="00311249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311249">
        <w:rPr>
          <w:sz w:val="25"/>
          <w:szCs w:val="25"/>
        </w:rPr>
        <w:br/>
        <w:t> </w:t>
      </w:r>
    </w:p>
    <w:p w:rsidR="00DB43DF" w:rsidRPr="00311249" w:rsidRDefault="00311249" w:rsidP="0031124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11249">
        <w:rPr>
          <w:rFonts w:ascii="Times New Roman" w:hAnsi="Times New Roman" w:cs="Times New Roman"/>
          <w:i/>
          <w:vertAlign w:val="superscript"/>
        </w:rPr>
        <w:t>1</w:t>
      </w:r>
      <w:r w:rsidRPr="00311249">
        <w:rPr>
          <w:rFonts w:ascii="Times New Roman" w:hAnsi="Times New Roman" w:cs="Times New Roman"/>
          <w:i/>
        </w:rPr>
        <w:t>1996(1) SCC 415</w:t>
      </w:r>
    </w:p>
    <w:sectPr w:rsidR="00DB43DF" w:rsidRPr="003112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2CF" w:rsidRDefault="00A872CF" w:rsidP="00DA0365">
      <w:pPr>
        <w:spacing w:after="0" w:line="240" w:lineRule="auto"/>
      </w:pPr>
      <w:r>
        <w:separator/>
      </w:r>
    </w:p>
  </w:endnote>
  <w:endnote w:type="continuationSeparator" w:id="0">
    <w:p w:rsidR="00A872CF" w:rsidRDefault="00A872CF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311249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2CF" w:rsidRDefault="00A872CF" w:rsidP="00DA0365">
      <w:pPr>
        <w:spacing w:after="0" w:line="240" w:lineRule="auto"/>
      </w:pPr>
      <w:r>
        <w:separator/>
      </w:r>
    </w:p>
  </w:footnote>
  <w:footnote w:type="continuationSeparator" w:id="0">
    <w:p w:rsidR="00A872CF" w:rsidRDefault="00A872CF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311249"/>
    <w:rsid w:val="005C7F20"/>
    <w:rsid w:val="008D320C"/>
    <w:rsid w:val="00A41AA5"/>
    <w:rsid w:val="00A872CF"/>
    <w:rsid w:val="00DA0365"/>
    <w:rsid w:val="00DB19A1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DB1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DB1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0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1907</Words>
  <Characters>10875</Characters>
  <Application>Microsoft Office Word</Application>
  <DocSecurity>0</DocSecurity>
  <Lines>90</Lines>
  <Paragraphs>25</Paragraphs>
  <ScaleCrop>false</ScaleCrop>
  <Company/>
  <LinksUpToDate>false</LinksUpToDate>
  <CharactersWithSpaces>12757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2016-04-03T12:02:00Z</dcterms:modified>
</cp:coreProperties>
</file>