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A99" w:rsidRPr="00DC1C66" w:rsidRDefault="00865A99" w:rsidP="00DC1C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C1C66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SUPREME COURT OF INDIA</w:t>
      </w:r>
    </w:p>
    <w:p w:rsidR="00865A99" w:rsidRPr="00DC1C66" w:rsidRDefault="00865A99" w:rsidP="00DC1C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C1C66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865A99" w:rsidRPr="00DC1C66" w:rsidRDefault="00865A99" w:rsidP="00DC1C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C1C66">
        <w:rPr>
          <w:rFonts w:ascii="Times New Roman" w:eastAsia="Times New Roman" w:hAnsi="Times New Roman" w:cs="Times New Roman"/>
          <w:color w:val="000000"/>
          <w:sz w:val="25"/>
          <w:szCs w:val="25"/>
        </w:rPr>
        <w:t>Commissioner of Central Excise-</w:t>
      </w:r>
      <w:bookmarkStart w:id="0" w:name="_GoBack"/>
      <w:r w:rsidR="00DC1C66" w:rsidRPr="00DC1C66">
        <w:rPr>
          <w:rFonts w:ascii="Times New Roman" w:eastAsia="Times New Roman" w:hAnsi="Times New Roman" w:cs="Times New Roman"/>
          <w:color w:val="000000"/>
          <w:sz w:val="25"/>
          <w:szCs w:val="25"/>
        </w:rPr>
        <w:t>II</w:t>
      </w:r>
      <w:bookmarkEnd w:id="0"/>
      <w:r w:rsidRPr="00DC1C66">
        <w:rPr>
          <w:rFonts w:ascii="Times New Roman" w:eastAsia="Times New Roman" w:hAnsi="Times New Roman" w:cs="Times New Roman"/>
          <w:color w:val="000000"/>
          <w:sz w:val="25"/>
          <w:szCs w:val="25"/>
        </w:rPr>
        <w:t>, Chennai</w:t>
      </w:r>
    </w:p>
    <w:p w:rsidR="00865A99" w:rsidRPr="00DC1C66" w:rsidRDefault="00865A99" w:rsidP="00DC1C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C1C6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>Vs.</w:t>
      </w:r>
    </w:p>
    <w:p w:rsidR="00865A99" w:rsidRPr="00DC1C66" w:rsidRDefault="00865A99" w:rsidP="00DC1C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C1C6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 xml:space="preserve">Beacon </w:t>
      </w:r>
      <w:proofErr w:type="spellStart"/>
      <w:r w:rsidRPr="00DC1C66">
        <w:rPr>
          <w:rFonts w:ascii="Times New Roman" w:eastAsia="Times New Roman" w:hAnsi="Times New Roman" w:cs="Times New Roman"/>
          <w:color w:val="000000"/>
          <w:sz w:val="25"/>
          <w:szCs w:val="25"/>
        </w:rPr>
        <w:t>Neyrpic</w:t>
      </w:r>
      <w:proofErr w:type="spellEnd"/>
      <w:r w:rsidRPr="00DC1C6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Limited</w:t>
      </w:r>
    </w:p>
    <w:p w:rsidR="00865A99" w:rsidRPr="00DC1C66" w:rsidRDefault="00865A99" w:rsidP="00DC1C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C1C66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865A99" w:rsidRPr="00DC1C66" w:rsidRDefault="00865A99" w:rsidP="00DC1C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C1C66">
        <w:rPr>
          <w:rFonts w:ascii="Times New Roman" w:eastAsia="Times New Roman" w:hAnsi="Times New Roman" w:cs="Times New Roman"/>
          <w:color w:val="000000"/>
          <w:sz w:val="25"/>
          <w:szCs w:val="25"/>
        </w:rPr>
        <w:t>C.A.No.7356 of 2001</w:t>
      </w:r>
    </w:p>
    <w:p w:rsidR="00865A99" w:rsidRPr="00DC1C66" w:rsidRDefault="00865A99" w:rsidP="00DC1C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C1C66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865A99" w:rsidRPr="00DC1C66" w:rsidRDefault="00865A99" w:rsidP="00DC1C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gramStart"/>
      <w:r w:rsidRPr="00DC1C66">
        <w:rPr>
          <w:rFonts w:ascii="Times New Roman" w:eastAsia="Times New Roman" w:hAnsi="Times New Roman" w:cs="Times New Roman"/>
          <w:color w:val="000000"/>
          <w:sz w:val="25"/>
          <w:szCs w:val="25"/>
        </w:rPr>
        <w:t>(</w:t>
      </w:r>
      <w:proofErr w:type="spellStart"/>
      <w:r w:rsidRPr="00DC1C66">
        <w:rPr>
          <w:rFonts w:ascii="Times New Roman" w:eastAsia="Times New Roman" w:hAnsi="Times New Roman" w:cs="Times New Roman"/>
          <w:color w:val="000000"/>
          <w:sz w:val="25"/>
          <w:szCs w:val="25"/>
        </w:rPr>
        <w:t>Mrs.Ruma</w:t>
      </w:r>
      <w:proofErr w:type="spellEnd"/>
      <w:r w:rsidRPr="00DC1C6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Pal and H. K. </w:t>
      </w:r>
      <w:proofErr w:type="spellStart"/>
      <w:r w:rsidRPr="00DC1C66">
        <w:rPr>
          <w:rFonts w:ascii="Times New Roman" w:eastAsia="Times New Roman" w:hAnsi="Times New Roman" w:cs="Times New Roman"/>
          <w:color w:val="000000"/>
          <w:sz w:val="25"/>
          <w:szCs w:val="25"/>
        </w:rPr>
        <w:t>Sema</w:t>
      </w:r>
      <w:proofErr w:type="spellEnd"/>
      <w:r w:rsidRPr="00DC1C6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JJ.)</w:t>
      </w:r>
      <w:proofErr w:type="gramEnd"/>
      <w:r w:rsidRPr="00DC1C6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DC1C6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>26.10.2005</w:t>
      </w:r>
    </w:p>
    <w:p w:rsidR="00865A99" w:rsidRPr="00DC1C66" w:rsidRDefault="00865A99" w:rsidP="00DC1C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1" w:name="judg"/>
      <w:r w:rsidRPr="00DC1C66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bookmarkEnd w:id="1"/>
    </w:p>
    <w:p w:rsidR="00865A99" w:rsidRPr="00DC1C66" w:rsidRDefault="00865A99" w:rsidP="00DC1C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C1C66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ORDER</w:t>
      </w:r>
    </w:p>
    <w:p w:rsidR="00865A99" w:rsidRPr="00DC1C66" w:rsidRDefault="00865A99" w:rsidP="00DC1C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C1C66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 </w:t>
      </w:r>
    </w:p>
    <w:p w:rsidR="00865A99" w:rsidRPr="00DC1C66" w:rsidRDefault="00865A99" w:rsidP="00DC1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C1C6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1. Assuming that the </w:t>
      </w:r>
      <w:proofErr w:type="spellStart"/>
      <w:r w:rsidRPr="00DC1C66">
        <w:rPr>
          <w:rFonts w:ascii="Times New Roman" w:eastAsia="Times New Roman" w:hAnsi="Times New Roman" w:cs="Times New Roman"/>
          <w:color w:val="000000"/>
          <w:sz w:val="25"/>
          <w:szCs w:val="25"/>
        </w:rPr>
        <w:t>assessee</w:t>
      </w:r>
      <w:proofErr w:type="spellEnd"/>
      <w:r w:rsidRPr="00DC1C6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was related to its subsidiary company i.e. M/s. Best &amp; Crompton Ltd. (B &amp; C.L.), this by itself would not be sufficient for the purpose of invoking the Central Excise (Valuation) Rules, 1975 read with Section 4(l)(a) of the </w:t>
      </w:r>
      <w:r w:rsidRPr="00DC1C66"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Central Excise Act, 1944</w:t>
      </w:r>
      <w:r w:rsidRPr="00DC1C6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The department would have to go further and show that the relationship has introduced an element other than purely commercial consideration in effecting the sale by the </w:t>
      </w:r>
      <w:proofErr w:type="spellStart"/>
      <w:r w:rsidRPr="00DC1C66">
        <w:rPr>
          <w:rFonts w:ascii="Times New Roman" w:eastAsia="Times New Roman" w:hAnsi="Times New Roman" w:cs="Times New Roman"/>
          <w:color w:val="000000"/>
          <w:sz w:val="25"/>
          <w:szCs w:val="25"/>
        </w:rPr>
        <w:t>assessee</w:t>
      </w:r>
      <w:proofErr w:type="spellEnd"/>
      <w:r w:rsidRPr="00DC1C6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to the BCL. No such evidence has been produced by the Revenue.</w:t>
      </w:r>
    </w:p>
    <w:p w:rsidR="00865A99" w:rsidRPr="00DC1C66" w:rsidRDefault="00865A99" w:rsidP="00DC1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C1C66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>2. In the circumstances, the appeal is dismissed.</w:t>
      </w:r>
    </w:p>
    <w:p w:rsidR="00865A99" w:rsidRPr="00DC1C66" w:rsidRDefault="00865A99" w:rsidP="00DC1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C1C66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DB43DF" w:rsidRPr="00DC1C66" w:rsidRDefault="00A4225F" w:rsidP="00DC1C66">
      <w:pPr>
        <w:spacing w:after="0" w:line="240" w:lineRule="auto"/>
        <w:rPr>
          <w:sz w:val="25"/>
          <w:szCs w:val="25"/>
        </w:rPr>
      </w:pPr>
    </w:p>
    <w:sectPr w:rsidR="00DB43DF" w:rsidRPr="00DC1C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25F" w:rsidRDefault="00A4225F" w:rsidP="00DA0365">
      <w:pPr>
        <w:spacing w:after="0" w:line="240" w:lineRule="auto"/>
      </w:pPr>
      <w:r>
        <w:separator/>
      </w:r>
    </w:p>
  </w:endnote>
  <w:endnote w:type="continuationSeparator" w:id="0">
    <w:p w:rsidR="00A4225F" w:rsidRDefault="00A4225F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DC1C66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25F" w:rsidRDefault="00A4225F" w:rsidP="00DA0365">
      <w:pPr>
        <w:spacing w:after="0" w:line="240" w:lineRule="auto"/>
      </w:pPr>
      <w:r>
        <w:separator/>
      </w:r>
    </w:p>
  </w:footnote>
  <w:footnote w:type="continuationSeparator" w:id="0">
    <w:p w:rsidR="00A4225F" w:rsidRDefault="00A4225F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5C7F20"/>
    <w:rsid w:val="00777400"/>
    <w:rsid w:val="00865A99"/>
    <w:rsid w:val="008D320C"/>
    <w:rsid w:val="00A4225F"/>
    <w:rsid w:val="00DA0365"/>
    <w:rsid w:val="00DC1C66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2016-06-30T17:00:00Z</dcterms:modified>
</cp:coreProperties>
</file>