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DE4" w:rsidRPr="004B1DE4" w:rsidRDefault="004B1DE4" w:rsidP="004B1DE4">
      <w:pPr>
        <w:spacing w:after="0" w:line="240" w:lineRule="auto"/>
        <w:jc w:val="center"/>
        <w:rPr>
          <w:rFonts w:ascii="Times New Roman" w:eastAsia="Times New Roman" w:hAnsi="Times New Roman" w:cs="Times New Roman"/>
          <w:color w:val="000000"/>
          <w:sz w:val="25"/>
          <w:szCs w:val="25"/>
        </w:rPr>
      </w:pPr>
      <w:r w:rsidRPr="004B1DE4">
        <w:rPr>
          <w:rFonts w:ascii="Times New Roman" w:eastAsia="Times New Roman" w:hAnsi="Times New Roman" w:cs="Times New Roman"/>
          <w:b/>
          <w:bCs/>
          <w:color w:val="000000"/>
          <w:sz w:val="25"/>
          <w:szCs w:val="25"/>
        </w:rPr>
        <w:t>SUPREME COURT OF INDIA</w:t>
      </w:r>
    </w:p>
    <w:p w:rsidR="004B1DE4" w:rsidRPr="004B1DE4" w:rsidRDefault="004B1DE4" w:rsidP="004B1DE4">
      <w:pPr>
        <w:spacing w:after="0" w:line="240" w:lineRule="auto"/>
        <w:jc w:val="center"/>
        <w:rPr>
          <w:rFonts w:ascii="Times New Roman" w:eastAsia="Times New Roman" w:hAnsi="Times New Roman" w:cs="Times New Roman"/>
          <w:color w:val="000000"/>
          <w:sz w:val="25"/>
          <w:szCs w:val="25"/>
        </w:rPr>
      </w:pPr>
    </w:p>
    <w:p w:rsidR="004B1DE4" w:rsidRPr="004B1DE4" w:rsidRDefault="004B1DE4" w:rsidP="004B1DE4">
      <w:pPr>
        <w:spacing w:after="0" w:line="240" w:lineRule="auto"/>
        <w:jc w:val="center"/>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Harendra Nath Borah</w:t>
      </w:r>
    </w:p>
    <w:p w:rsidR="004B1DE4" w:rsidRPr="004B1DE4" w:rsidRDefault="004B1DE4" w:rsidP="004B1DE4">
      <w:pPr>
        <w:spacing w:after="0" w:line="240" w:lineRule="auto"/>
        <w:jc w:val="center"/>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t>Vs</w:t>
      </w:r>
    </w:p>
    <w:p w:rsidR="004B1DE4" w:rsidRPr="004B1DE4" w:rsidRDefault="004B1DE4" w:rsidP="004B1DE4">
      <w:pPr>
        <w:spacing w:after="0" w:line="240" w:lineRule="auto"/>
        <w:jc w:val="center"/>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t>State of Assam</w:t>
      </w:r>
    </w:p>
    <w:p w:rsidR="004B1DE4" w:rsidRPr="004B1DE4" w:rsidRDefault="004B1DE4" w:rsidP="004B1DE4">
      <w:pPr>
        <w:spacing w:after="0" w:line="240" w:lineRule="auto"/>
        <w:jc w:val="center"/>
        <w:rPr>
          <w:rFonts w:ascii="Times New Roman" w:eastAsia="Times New Roman" w:hAnsi="Times New Roman" w:cs="Times New Roman"/>
          <w:color w:val="000000"/>
          <w:sz w:val="25"/>
          <w:szCs w:val="25"/>
        </w:rPr>
      </w:pPr>
    </w:p>
    <w:p w:rsidR="004B1DE4" w:rsidRDefault="004B1DE4" w:rsidP="004B1DE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4B1DE4">
        <w:rPr>
          <w:rFonts w:ascii="Times New Roman" w:eastAsia="Times New Roman" w:hAnsi="Times New Roman" w:cs="Times New Roman"/>
          <w:color w:val="000000"/>
          <w:sz w:val="25"/>
          <w:szCs w:val="25"/>
        </w:rPr>
        <w:t>107 of 2007</w:t>
      </w:r>
    </w:p>
    <w:p w:rsidR="004B1DE4" w:rsidRPr="004B1DE4" w:rsidRDefault="004B1DE4" w:rsidP="004B1DE4">
      <w:pPr>
        <w:spacing w:after="0" w:line="240" w:lineRule="auto"/>
        <w:jc w:val="center"/>
        <w:rPr>
          <w:rFonts w:ascii="Times New Roman" w:eastAsia="Times New Roman" w:hAnsi="Times New Roman" w:cs="Times New Roman"/>
          <w:color w:val="000000"/>
          <w:sz w:val="25"/>
          <w:szCs w:val="25"/>
        </w:rPr>
      </w:pPr>
    </w:p>
    <w:p w:rsidR="004B1DE4" w:rsidRPr="004B1DE4" w:rsidRDefault="004B1DE4" w:rsidP="004B1DE4">
      <w:pPr>
        <w:spacing w:after="0" w:line="240" w:lineRule="auto"/>
        <w:jc w:val="center"/>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(Arijit Pasayat and S. H. Kapadia, JJ)</w:t>
      </w:r>
    </w:p>
    <w:p w:rsidR="004B1DE4" w:rsidRPr="004B1DE4" w:rsidRDefault="004B1DE4" w:rsidP="004B1DE4">
      <w:pPr>
        <w:spacing w:after="0" w:line="240" w:lineRule="auto"/>
        <w:jc w:val="center"/>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t>24.01.2007</w:t>
      </w:r>
    </w:p>
    <w:p w:rsidR="004B1DE4" w:rsidRPr="004B1DE4" w:rsidRDefault="004B1DE4" w:rsidP="004B1DE4">
      <w:pPr>
        <w:spacing w:after="0" w:line="240" w:lineRule="auto"/>
        <w:jc w:val="center"/>
        <w:rPr>
          <w:rFonts w:ascii="Times New Roman" w:eastAsia="Times New Roman" w:hAnsi="Times New Roman" w:cs="Times New Roman"/>
          <w:color w:val="000000"/>
          <w:sz w:val="25"/>
          <w:szCs w:val="25"/>
        </w:rPr>
      </w:pPr>
      <w:bookmarkStart w:id="0" w:name="judg"/>
      <w:bookmarkEnd w:id="0"/>
    </w:p>
    <w:p w:rsidR="004B1DE4" w:rsidRPr="004B1DE4" w:rsidRDefault="004B1DE4" w:rsidP="004B1DE4">
      <w:pPr>
        <w:spacing w:after="0" w:line="240" w:lineRule="auto"/>
        <w:jc w:val="center"/>
        <w:rPr>
          <w:rFonts w:ascii="Times New Roman" w:eastAsia="Times New Roman" w:hAnsi="Times New Roman" w:cs="Times New Roman"/>
          <w:color w:val="000000"/>
          <w:sz w:val="25"/>
          <w:szCs w:val="25"/>
        </w:rPr>
      </w:pPr>
      <w:r w:rsidRPr="004B1DE4">
        <w:rPr>
          <w:rFonts w:ascii="Times New Roman" w:eastAsia="Times New Roman" w:hAnsi="Times New Roman" w:cs="Times New Roman"/>
          <w:b/>
          <w:bCs/>
          <w:color w:val="000000"/>
          <w:sz w:val="25"/>
          <w:szCs w:val="25"/>
        </w:rPr>
        <w:t>JUDGMENT</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b/>
          <w:bCs/>
          <w:color w:val="000000"/>
          <w:sz w:val="25"/>
          <w:szCs w:val="25"/>
        </w:rPr>
        <w:t> </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4B1DE4">
        <w:rPr>
          <w:rFonts w:ascii="Times New Roman" w:eastAsia="Times New Roman" w:hAnsi="Times New Roman" w:cs="Times New Roman"/>
          <w:b/>
          <w:bCs/>
          <w:color w:val="000000"/>
          <w:sz w:val="25"/>
          <w:szCs w:val="25"/>
        </w:rPr>
        <w:t>Arijit Pasayat, J.</w:t>
      </w:r>
    </w:p>
    <w:p w:rsid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b/>
          <w:bCs/>
          <w:color w:val="000000"/>
          <w:sz w:val="25"/>
          <w:szCs w:val="25"/>
        </w:rPr>
        <w:t> </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SLP(Crl.)No.5338 of 2006</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4B1DE4">
        <w:rPr>
          <w:rFonts w:ascii="Times New Roman" w:eastAsia="Times New Roman" w:hAnsi="Times New Roman" w:cs="Times New Roman"/>
          <w:color w:val="000000"/>
          <w:sz w:val="25"/>
          <w:szCs w:val="25"/>
        </w:rPr>
        <w:t>Leave granted.</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b/>
          <w:bCs/>
          <w:color w:val="000000"/>
          <w:sz w:val="25"/>
          <w:szCs w:val="25"/>
        </w:rPr>
        <w:t> </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4B1DE4">
        <w:rPr>
          <w:rFonts w:ascii="Times New Roman" w:eastAsia="Times New Roman" w:hAnsi="Times New Roman" w:cs="Times New Roman"/>
          <w:color w:val="000000"/>
          <w:sz w:val="25"/>
          <w:szCs w:val="25"/>
        </w:rPr>
        <w:t>Challenge in this appeal is to the judgment of the Guwahati High Court upholding appellant's conviction under Section 302 of the Indian Penal Code, 1860 (in short the 'IPC') and sentence of imprisonment for life as awarded by the learned Sessions Judge, Dhemaji. Accusations which led to the trial of the appellant are essentially as follows:</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4B1DE4">
        <w:rPr>
          <w:rFonts w:ascii="Times New Roman" w:eastAsia="Times New Roman" w:hAnsi="Times New Roman" w:cs="Times New Roman"/>
          <w:color w:val="000000"/>
          <w:sz w:val="25"/>
          <w:szCs w:val="25"/>
        </w:rPr>
        <w:t>One Premlal Verma lodged a written complaint to the Superintendent of Police, East Siang, Arunachal Pradesh on 29.9.2000 alleging that on 26.9.2000 one Fekan Das (hereinafter referred to as the 'deceased') was driving a Truck No.AS-25/641. At about 11.00 p.m. when the truck reached Ruksing Gate, the police personnel of Jonai Police Station came there in a three wheeler and assaulted the deceased. The deceased became senseless and the police left him on the road and returned to the police station. It was further alleged that the deceased was brought to the Pasighat General Hospital for treatment. On 28.9.2000, he was referred to Dibugarh for treatment and on 29.9.2000 on way to the hospital his condition became serious and he died while being brought to Pasighat.</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4B1DE4">
        <w:rPr>
          <w:rFonts w:ascii="Times New Roman" w:eastAsia="Times New Roman" w:hAnsi="Times New Roman" w:cs="Times New Roman"/>
          <w:color w:val="000000"/>
          <w:sz w:val="25"/>
          <w:szCs w:val="25"/>
        </w:rPr>
        <w:t xml:space="preserve">The aforesaid information was registered. The investigation was undertaken and charge sheet was placed. The accused was absconding and, therefore, no test identification parade could be held. On conclusion of investigation, the Investigating Officer submitted the charge sheet indicating commission of offence punishable under Section 302 IPC. Charge was framed after he was arrested. In order to substantiate its accusations 16 witnesses were examined. The accused pleaded innocence. On analysis of the evidence tendered, the Trial Court found the accused guilty and convicted and sentenced as aforesaid. An appeal was preferred before the High Court. The main stand of the accused-appellant was that the </w:t>
      </w:r>
      <w:r w:rsidRPr="004B1DE4">
        <w:rPr>
          <w:rFonts w:ascii="Times New Roman" w:eastAsia="Times New Roman" w:hAnsi="Times New Roman" w:cs="Times New Roman"/>
          <w:color w:val="000000"/>
          <w:sz w:val="25"/>
          <w:szCs w:val="25"/>
        </w:rPr>
        <w:lastRenderedPageBreak/>
        <w:t>evidence of the eye witnesses cannot be relied upon as there was delay in lodging the FIR, and conviction was vitiated. Further no sanction was obtained as required under Section 197 of the Code Of Criminal Procedure, 1973 (in short the 'Code'). The stand of the respondent-State on the other hand was that the evidence of PWs. 5, 6 and 7 had clearly established the accusations. It was submitted that the deceased was assaulted without any fault on his part. Further, it was pointed out that since the appellant, a police personnel was involved there was effort on the part of the other officials not to accept the information given and ultimately the grievance was made before the Superintendent of Police. The High Court found that the evidence of the three witnesses who were stated to be eye witnesses left no manner of doubt that the accused was guilty. Therefore, the appeal was dismissed.</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4B1DE4">
        <w:rPr>
          <w:rFonts w:ascii="Times New Roman" w:eastAsia="Times New Roman" w:hAnsi="Times New Roman" w:cs="Times New Roman"/>
          <w:color w:val="000000"/>
          <w:sz w:val="25"/>
          <w:szCs w:val="25"/>
        </w:rPr>
        <w:t>Learned counsel for the accused submitted that even if the accusations are accepted in toto, the offence under Section 302 IPC is not made out.Learned counsel for the respondent on the other hand supported the judgment and the conviction and sentence as passed by the Trial Court and affirmed by the High Court.The crucial question is as to which was the appropriate provision to be applied. In the scheme of the IPC culpable homicide is genus and 'murder' its specie. All 'murder' is 'culpable homicide' but not vice-versa. Speaking generally, 'culpable homicide' sans 'special characteristics of murder is culpable homicide not amounting to murder'. For the purpose of fixing punishment, proportionate to the gravity of the generic offence, the IPC practically recognizes three degrees of culpable homicide. The first is, what may be called, 'culpable homicide of the first degree'. This is the gravest form of culpable homicide, which is defined in Section 300 as 'murder'. The second may be termed as 'culpable homicide of the second degree'. This is punishable under the first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300. The following comparative table will be helpful in appreciating the points of distinction between the two offences.</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Section 299</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4B1DE4">
        <w:rPr>
          <w:rFonts w:ascii="Times New Roman" w:eastAsia="Times New Roman" w:hAnsi="Times New Roman" w:cs="Times New Roman"/>
          <w:color w:val="000000"/>
          <w:sz w:val="25"/>
          <w:szCs w:val="25"/>
        </w:rPr>
        <w:t>Section 300 A people commits culpable homicide if the act by which the death is caused is done</w:t>
      </w:r>
      <w:r>
        <w:rPr>
          <w:rFonts w:ascii="Times New Roman" w:eastAsia="Times New Roman" w:hAnsi="Times New Roman" w:cs="Times New Roman"/>
          <w:color w:val="000000"/>
          <w:sz w:val="25"/>
          <w:szCs w:val="25"/>
        </w:rPr>
        <w:t xml:space="preserve"> </w:t>
      </w:r>
      <w:r w:rsidRPr="004B1DE4">
        <w:rPr>
          <w:rFonts w:ascii="Times New Roman" w:eastAsia="Times New Roman" w:hAnsi="Times New Roman" w:cs="Times New Roman"/>
          <w:color w:val="000000"/>
          <w:sz w:val="25"/>
          <w:szCs w:val="25"/>
        </w:rPr>
        <w:t>Subject to certain exceptions culpable homicide is murder if the act by which the death is caused is done</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INTENTION</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(a) With the intention of causing death</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(1) With the intention of causing death;</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(2) With the intention of causing such bodily injuries as the offender knows to be likely to cause the death of the person to whom the harm is caused;</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(b) With the intention of causing such bodily injury as is likely to cause death</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(3) With the intention of causing bodily injury to any person and the bodily injury intended to be inflicted is sufficient in the ordinary course of nature to cause death;</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KNOWLEDGE</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(c) With the knowledge that the act is likely to cause death</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(4) with the knowledge that the act is so imminently dangerous that it must in all probability cause death or such bodily injury as is likely to cause death, and without any excuse for incurring the risk of causing death or such injury as is mentioned above.</w:t>
      </w:r>
      <w:r>
        <w:rPr>
          <w:rFonts w:ascii="Times New Roman" w:eastAsia="Times New Roman" w:hAnsi="Times New Roman" w:cs="Times New Roman"/>
          <w:color w:val="000000"/>
          <w:sz w:val="25"/>
          <w:szCs w:val="25"/>
        </w:rPr>
        <w:t>”</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4B1DE4">
        <w:rPr>
          <w:rFonts w:ascii="Times New Roman" w:eastAsia="Times New Roman" w:hAnsi="Times New Roman" w:cs="Times New Roman"/>
          <w:color w:val="000000"/>
          <w:sz w:val="25"/>
          <w:szCs w:val="25"/>
        </w:rPr>
        <w:t>Clause (b) of Section 299 corresponds with clauses (2) and (3) of Section 300. The distinguishing feature of the mens rea requisite under clause (2) is the knowledge possessed by the offender regarding the particular victim being in such a peculiar condition or state of health that the internal harm caused to him is likely to be fatal, notwithstanding the fact that such harm would not in the ordinary way of nature be sufficient to cause death of a person in normal health or condition. It is noteworthy that the 'intention to cause death' is not an essential requirement of clause (2). Only the intention of causing the bodily injury coupled with the offender's knowledge of the likelihood of such injury causing the death of the particular victim, is sufficient to bring the killing within the ambit of this clause. This aspect of clause (2) is borne out by illustration (b) appended to Section 300.</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4B1DE4">
        <w:rPr>
          <w:rFonts w:ascii="Times New Roman" w:eastAsia="Times New Roman" w:hAnsi="Times New Roman" w:cs="Times New Roman"/>
          <w:color w:val="000000"/>
          <w:sz w:val="25"/>
          <w:szCs w:val="25"/>
        </w:rPr>
        <w:t>Clause (b) of Section 299 does not postulate any such knowledge on the part of the offender. Instances of cases falling under clause (2) of Section 300 can be where the assailant causes death by a fist blow intentionally given knowing that the victim is suffering from an enlarged liver, or enlarged spleen or diseased heart and such blow is likely to cause death of that particular person as a result of the rupture of the liver, or spleen or the failure of the heart, as the case may be. If the assailant had no such knowledge about the disease or special frailty of the victim, nor an intention to cause death or bodily injury sufficient in the ordinary course of nature to cause death, the offence will not be murder, even if the injury which caused the death, was intentionally given. In clause (3) of Section 300, instead of the words 'likely to cause death' occurring in the corresponding clause (b) of Section 299, the words "sufficient in the ordinary course of nature to cause death" have been used. Obviously, the distinction lies between a bodily injury likely to cause death and a bodily injury sufficient in the ordinary course of nature to cause death. The distinction is fine but real and if overlooked, may result in miscarriage of justice. The difference between clause (b) of Section 299 and clause (3) of Section 300 is one of the degree of probability of death resulting from the intended bodily injury. To put it more broadly, it is the degree of probability of death which determines whether a culpable homicide is of the gravest, medium or the lowest degree. The word 'likely' in clause (b) of Section 299 conveys the sense of probable as distinguished from a mere possibility. The words "bodily injury.......sufficient in the ordinary course of nature to cause death" mean that death will be the "most probable" result of the injury, having regard to the ordinary course of nature.</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4B1DE4">
        <w:rPr>
          <w:rFonts w:ascii="Times New Roman" w:eastAsia="Times New Roman" w:hAnsi="Times New Roman" w:cs="Times New Roman"/>
          <w:color w:val="000000"/>
          <w:sz w:val="25"/>
          <w:szCs w:val="25"/>
        </w:rPr>
        <w:t>For cases to fall within clause (3), it is not necessary that the offender intended to cause death, so long as the death ensues from the intentional bodily injury or injuries sufficient to cause death in the ordinary course of nature.  Rajwant and Anr. v. State of Kerala, Â is an apt illustration of this point.</w:t>
      </w:r>
    </w:p>
    <w:p w:rsid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4B1DE4">
        <w:rPr>
          <w:rFonts w:ascii="Times New Roman" w:eastAsia="Times New Roman" w:hAnsi="Times New Roman" w:cs="Times New Roman"/>
          <w:color w:val="000000"/>
          <w:sz w:val="25"/>
          <w:szCs w:val="25"/>
        </w:rPr>
        <w:t>In Virsa Singh v. State of Punjab, Â  Vivian Bose, J. speaking for the Court, explained the meaning and scope of clause (3). It was observed that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4B1DE4">
        <w:rPr>
          <w:rFonts w:ascii="Times New Roman" w:eastAsia="Times New Roman" w:hAnsi="Times New Roman" w:cs="Times New Roman"/>
          <w:color w:val="000000"/>
          <w:sz w:val="25"/>
          <w:szCs w:val="25"/>
        </w:rPr>
        <w:t>The ingredients of clause "Thirdly" of Section 300, IPC were brought out by the illustrious Judge in his terse language as follows:</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r>
      <w:r w:rsidRPr="004B1DE4">
        <w:rPr>
          <w:rFonts w:ascii="Times New Roman" w:eastAsia="Times New Roman" w:hAnsi="Times New Roman" w:cs="Times New Roman"/>
          <w:iCs/>
          <w:color w:val="000000"/>
          <w:sz w:val="25"/>
          <w:szCs w:val="25"/>
        </w:rPr>
        <w:t>"To put it shortly, the prosecution must prove the following facts before it can bring a case under Section 300, "thirdly".</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iCs/>
          <w:color w:val="000000"/>
          <w:sz w:val="25"/>
          <w:szCs w:val="25"/>
        </w:rPr>
        <w:br/>
        <w:t>First, it must establish, quite objectively, that a bodily injury is present.</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iCs/>
          <w:color w:val="000000"/>
          <w:sz w:val="25"/>
          <w:szCs w:val="25"/>
        </w:rPr>
        <w:br/>
        <w:t>Secondly, the nature of the injury must be proved. These are purely objective investigations.</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iCs/>
          <w:color w:val="000000"/>
          <w:sz w:val="25"/>
          <w:szCs w:val="25"/>
        </w:rPr>
        <w:br/>
        <w:t>Thirdly, it must be proved that there was an intention to inflict that particular bodily injury, that is to say that it was not accidental or unintentional, or that some other kind of injury was intended.</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iCs/>
          <w:color w:val="000000"/>
          <w:sz w:val="25"/>
          <w:szCs w:val="25"/>
        </w:rPr>
        <w:br/>
        <w:t>Once these three elements are proved to be present, the enquiry proceeds further and,</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iCs/>
          <w:color w:val="000000"/>
          <w:sz w:val="25"/>
          <w:szCs w:val="25"/>
        </w:rPr>
        <w:br/>
        <w:t>Fourthly,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i/>
          <w:iCs/>
          <w:color w:val="000000"/>
          <w:sz w:val="25"/>
          <w:szCs w:val="25"/>
        </w:rPr>
        <w:t>  </w:t>
      </w: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4B1DE4">
        <w:rPr>
          <w:rFonts w:ascii="Times New Roman" w:eastAsia="Times New Roman" w:hAnsi="Times New Roman" w:cs="Times New Roman"/>
          <w:color w:val="000000"/>
          <w:sz w:val="25"/>
          <w:szCs w:val="25"/>
        </w:rPr>
        <w:t>The learned Judge explained the third ingredient in the following words (at page 468):</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4B1DE4" w:rsidRPr="004B1DE4" w:rsidRDefault="004B1DE4" w:rsidP="004B1DE4">
      <w:pPr>
        <w:spacing w:after="0" w:line="240" w:lineRule="auto"/>
        <w:ind w:left="720"/>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iCs/>
          <w:color w:val="000000"/>
          <w:sz w:val="25"/>
          <w:szCs w:val="25"/>
        </w:rPr>
        <w:t>"The question is not whether the prisoner intended to inflict a serious injury or a trivial one but whether he intended to inflict the injury that is proved to be present. If he can show that he did not, or if the totality of the circumstances justify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i/>
          <w:iCs/>
          <w:color w:val="000000"/>
          <w:sz w:val="25"/>
          <w:szCs w:val="25"/>
        </w:rPr>
        <w:t>  </w:t>
      </w: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4B1DE4">
        <w:rPr>
          <w:rFonts w:ascii="Times New Roman" w:eastAsia="Times New Roman" w:hAnsi="Times New Roman" w:cs="Times New Roman"/>
          <w:color w:val="000000"/>
          <w:sz w:val="25"/>
          <w:szCs w:val="25"/>
        </w:rPr>
        <w:t>These observations of Vivian Bose, J. have become locus classicus. The test laid down by Virsa Singh's case (supra) for the applicability of clause "Thirdly" is now ingrained in our legal system and has become part of the rule of law.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w:t>
      </w:r>
      <w:r>
        <w:rPr>
          <w:rFonts w:ascii="Times New Roman" w:eastAsia="Times New Roman" w:hAnsi="Times New Roman" w:cs="Times New Roman"/>
          <w:color w:val="000000"/>
          <w:sz w:val="25"/>
          <w:szCs w:val="25"/>
        </w:rPr>
        <w:t xml:space="preserve"> </w:t>
      </w:r>
      <w:r w:rsidRPr="004B1DE4">
        <w:rPr>
          <w:rFonts w:ascii="Times New Roman" w:eastAsia="Times New Roman" w:hAnsi="Times New Roman" w:cs="Times New Roman"/>
          <w:color w:val="000000"/>
          <w:sz w:val="25"/>
          <w:szCs w:val="25"/>
        </w:rPr>
        <w:t>Thus, according to the rule laid down in Virsa Singh's case, even if the intention of accused was limited to the infliction of a bodily injury sufficient to cause death in the ordinary course of nature, and did not extend to the intention of causing death, the offence would be murder.  Illustration (c) appended to Section 300 clearly brings out this point.</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4B1DE4">
        <w:rPr>
          <w:rFonts w:ascii="Times New Roman" w:eastAsia="Times New Roman" w:hAnsi="Times New Roman" w:cs="Times New Roman"/>
          <w:color w:val="000000"/>
          <w:sz w:val="25"/>
          <w:szCs w:val="25"/>
        </w:rPr>
        <w:t>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4B1DE4">
        <w:rPr>
          <w:rFonts w:ascii="Times New Roman" w:eastAsia="Times New Roman" w:hAnsi="Times New Roman" w:cs="Times New Roman"/>
          <w:color w:val="000000"/>
          <w:sz w:val="25"/>
          <w:szCs w:val="25"/>
        </w:rPr>
        <w:t>The above are only broad guidelines and not cast iron imperatives. In most cases, their observance will facilitate the task of the Court. But sometimes the facts are so intertwined and the second and the third stages so telescoped into each other that it may not be convenient to give a separate treatment to the matters involved in the second and third stages.</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4B1DE4">
        <w:rPr>
          <w:rFonts w:ascii="Times New Roman" w:eastAsia="Times New Roman" w:hAnsi="Times New Roman" w:cs="Times New Roman"/>
          <w:color w:val="000000"/>
          <w:sz w:val="25"/>
          <w:szCs w:val="25"/>
        </w:rPr>
        <w:t xml:space="preserve">The position was illuminatingly highlighted by this Court in </w:t>
      </w:r>
      <w:r w:rsidRPr="004B1DE4">
        <w:rPr>
          <w:rFonts w:ascii="Times New Roman" w:eastAsia="Times New Roman" w:hAnsi="Times New Roman" w:cs="Times New Roman"/>
          <w:i/>
          <w:color w:val="000000"/>
          <w:sz w:val="25"/>
          <w:szCs w:val="25"/>
        </w:rPr>
        <w:t>State of Andhra Pradesh v. Rayavarapu Punnayya</w:t>
      </w:r>
      <w:r w:rsidRPr="004B1DE4">
        <w:rPr>
          <w:rFonts w:ascii="Times New Roman" w:eastAsia="Times New Roman" w:hAnsi="Times New Roman" w:cs="Times New Roman"/>
          <w:i/>
          <w:color w:val="000000"/>
          <w:sz w:val="20"/>
          <w:szCs w:val="20"/>
          <w:vertAlign w:val="superscript"/>
        </w:rPr>
        <w:t>1</w:t>
      </w:r>
      <w:r w:rsidRPr="004B1DE4">
        <w:rPr>
          <w:rFonts w:ascii="Times New Roman" w:eastAsia="Times New Roman" w:hAnsi="Times New Roman" w:cs="Times New Roman"/>
          <w:i/>
          <w:color w:val="000000"/>
          <w:sz w:val="25"/>
          <w:szCs w:val="25"/>
        </w:rPr>
        <w:t xml:space="preserve"> </w:t>
      </w:r>
      <w:r w:rsidRPr="004B1DE4">
        <w:rPr>
          <w:rFonts w:ascii="Times New Roman" w:eastAsia="Times New Roman" w:hAnsi="Times New Roman" w:cs="Times New Roman"/>
          <w:color w:val="000000"/>
          <w:sz w:val="25"/>
          <w:szCs w:val="25"/>
        </w:rPr>
        <w:t xml:space="preserve">and Anr. </w:t>
      </w:r>
      <w:r w:rsidRPr="004B1DE4">
        <w:rPr>
          <w:rFonts w:ascii="Times New Roman" w:eastAsia="Times New Roman" w:hAnsi="Times New Roman" w:cs="Times New Roman"/>
          <w:i/>
          <w:color w:val="000000"/>
          <w:sz w:val="25"/>
          <w:szCs w:val="25"/>
        </w:rPr>
        <w:t xml:space="preserve"> Abdul Waheed Khan @ Waheed and Ors. v. State of Andhra Pradesh </w:t>
      </w:r>
      <w:r w:rsidRPr="004B1DE4">
        <w:rPr>
          <w:rFonts w:ascii="Times New Roman" w:eastAsia="Times New Roman" w:hAnsi="Times New Roman" w:cs="Times New Roman"/>
          <w:i/>
          <w:color w:val="000000"/>
          <w:sz w:val="20"/>
          <w:szCs w:val="20"/>
          <w:vertAlign w:val="superscript"/>
        </w:rPr>
        <w:t>2</w:t>
      </w:r>
      <w:r w:rsidRPr="004B1DE4">
        <w:rPr>
          <w:rFonts w:ascii="Times New Roman" w:eastAsia="Times New Roman" w:hAnsi="Times New Roman" w:cs="Times New Roman"/>
          <w:color w:val="000000"/>
          <w:sz w:val="25"/>
          <w:szCs w:val="25"/>
        </w:rPr>
        <w:t xml:space="preserve">, </w:t>
      </w:r>
      <w:r w:rsidRPr="004B1DE4">
        <w:rPr>
          <w:rFonts w:ascii="Times New Roman" w:eastAsia="Times New Roman" w:hAnsi="Times New Roman" w:cs="Times New Roman"/>
          <w:i/>
          <w:color w:val="000000"/>
          <w:sz w:val="25"/>
          <w:szCs w:val="25"/>
        </w:rPr>
        <w:t>Augustine Saldanha v. State of Karnataka</w:t>
      </w:r>
      <w:r w:rsidRPr="004B1DE4">
        <w:rPr>
          <w:rFonts w:ascii="Times New Roman" w:eastAsia="Times New Roman" w:hAnsi="Times New Roman" w:cs="Times New Roman"/>
          <w:i/>
          <w:color w:val="000000"/>
          <w:sz w:val="20"/>
          <w:szCs w:val="20"/>
          <w:vertAlign w:val="superscript"/>
        </w:rPr>
        <w:t>3</w:t>
      </w:r>
      <w:r w:rsidRPr="004B1DE4">
        <w:rPr>
          <w:rFonts w:ascii="Times New Roman" w:eastAsia="Times New Roman" w:hAnsi="Times New Roman" w:cs="Times New Roman"/>
          <w:color w:val="000000"/>
          <w:sz w:val="25"/>
          <w:szCs w:val="25"/>
        </w:rPr>
        <w:t xml:space="preserve"> Â  and in </w:t>
      </w:r>
      <w:r w:rsidRPr="004B1DE4">
        <w:rPr>
          <w:rFonts w:ascii="Times New Roman" w:eastAsia="Times New Roman" w:hAnsi="Times New Roman" w:cs="Times New Roman"/>
          <w:i/>
          <w:color w:val="000000"/>
          <w:sz w:val="25"/>
          <w:szCs w:val="25"/>
        </w:rPr>
        <w:t>Thangiya v. State of T.N. Â </w:t>
      </w:r>
      <w:r w:rsidRPr="004B1DE4">
        <w:rPr>
          <w:rFonts w:ascii="Times New Roman" w:eastAsia="Times New Roman" w:hAnsi="Times New Roman" w:cs="Times New Roman"/>
          <w:i/>
          <w:color w:val="000000"/>
          <w:sz w:val="20"/>
          <w:szCs w:val="20"/>
          <w:vertAlign w:val="superscript"/>
        </w:rPr>
        <w:t>4</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4B1DE4">
        <w:rPr>
          <w:rFonts w:ascii="Times New Roman" w:eastAsia="Times New Roman" w:hAnsi="Times New Roman" w:cs="Times New Roman"/>
          <w:color w:val="000000"/>
          <w:sz w:val="25"/>
          <w:szCs w:val="25"/>
        </w:rPr>
        <w:t>When the factual background of the case is analysed on the touchstone of principles set out above, the inevitable conclusion is that the case at hand is not covered under Section 302 IPC and on the other hand the case is covered under Section 304 Part I IPC. The conviction is accordingly altered. Custodial sentence of 10 years would meet the ends of justice.</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r w:rsidRPr="004B1DE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18. </w:t>
      </w:r>
      <w:r w:rsidRPr="004B1DE4">
        <w:rPr>
          <w:rFonts w:ascii="Times New Roman" w:eastAsia="Times New Roman" w:hAnsi="Times New Roman" w:cs="Times New Roman"/>
          <w:color w:val="000000"/>
          <w:sz w:val="25"/>
          <w:szCs w:val="25"/>
        </w:rPr>
        <w:t>The appeal is allowed to the aforesaid extent.</w:t>
      </w:r>
    </w:p>
    <w:p w:rsidR="004B1DE4" w:rsidRPr="004B1DE4" w:rsidRDefault="004B1DE4" w:rsidP="004B1DE4">
      <w:pPr>
        <w:spacing w:after="0" w:line="240" w:lineRule="auto"/>
        <w:jc w:val="both"/>
        <w:rPr>
          <w:rFonts w:ascii="Times New Roman" w:eastAsia="Times New Roman" w:hAnsi="Times New Roman" w:cs="Times New Roman"/>
          <w:color w:val="000000"/>
          <w:sz w:val="25"/>
          <w:szCs w:val="25"/>
        </w:rPr>
      </w:pPr>
      <w:r w:rsidRPr="004B1DE4">
        <w:rPr>
          <w:rFonts w:ascii="Times New Roman" w:eastAsia="Times New Roman" w:hAnsi="Times New Roman" w:cs="Times New Roman"/>
          <w:color w:val="000000"/>
          <w:sz w:val="25"/>
          <w:szCs w:val="25"/>
        </w:rPr>
        <w:t> </w:t>
      </w:r>
    </w:p>
    <w:p w:rsidR="006F7D20" w:rsidRPr="004B1DE4" w:rsidRDefault="004B1DE4" w:rsidP="004B1DE4">
      <w:pPr>
        <w:spacing w:after="0" w:line="240" w:lineRule="auto"/>
        <w:jc w:val="both"/>
        <w:rPr>
          <w:rFonts w:ascii="Times New Roman" w:hAnsi="Times New Roman" w:cs="Times New Roman"/>
          <w:i/>
          <w:color w:val="333333"/>
          <w:sz w:val="21"/>
          <w:szCs w:val="21"/>
          <w:shd w:val="clear" w:color="auto" w:fill="FFFFFF"/>
        </w:rPr>
      </w:pPr>
      <w:r w:rsidRPr="004B1DE4">
        <w:rPr>
          <w:rFonts w:ascii="Times New Roman" w:hAnsi="Times New Roman" w:cs="Times New Roman"/>
          <w:i/>
          <w:color w:val="333333"/>
          <w:sz w:val="21"/>
          <w:szCs w:val="21"/>
          <w:shd w:val="clear" w:color="auto" w:fill="FFFFFF"/>
          <w:vertAlign w:val="superscript"/>
        </w:rPr>
        <w:t>1</w:t>
      </w:r>
      <w:r w:rsidRPr="004B1DE4">
        <w:rPr>
          <w:rFonts w:ascii="Times New Roman" w:hAnsi="Times New Roman" w:cs="Times New Roman"/>
          <w:i/>
          <w:color w:val="333333"/>
          <w:sz w:val="21"/>
          <w:szCs w:val="21"/>
          <w:shd w:val="clear" w:color="auto" w:fill="FFFFFF"/>
        </w:rPr>
        <w:t>AIR 1958 SC 0465</w:t>
      </w:r>
    </w:p>
    <w:p w:rsidR="004B1DE4" w:rsidRPr="004B1DE4" w:rsidRDefault="004B1DE4" w:rsidP="004B1DE4">
      <w:pPr>
        <w:spacing w:after="0" w:line="240" w:lineRule="auto"/>
        <w:jc w:val="both"/>
        <w:rPr>
          <w:rFonts w:ascii="Times New Roman" w:hAnsi="Times New Roman" w:cs="Times New Roman"/>
          <w:i/>
          <w:color w:val="333333"/>
          <w:sz w:val="21"/>
          <w:szCs w:val="21"/>
          <w:shd w:val="clear" w:color="auto" w:fill="FFFFFF"/>
        </w:rPr>
      </w:pPr>
      <w:r w:rsidRPr="004B1DE4">
        <w:rPr>
          <w:rFonts w:ascii="Times New Roman" w:hAnsi="Times New Roman" w:cs="Times New Roman"/>
          <w:i/>
          <w:color w:val="333333"/>
          <w:sz w:val="21"/>
          <w:szCs w:val="21"/>
          <w:shd w:val="clear" w:color="auto" w:fill="FFFFFF"/>
          <w:vertAlign w:val="superscript"/>
        </w:rPr>
        <w:t>2</w:t>
      </w:r>
      <w:r w:rsidRPr="004B1DE4">
        <w:rPr>
          <w:rFonts w:ascii="Times New Roman" w:hAnsi="Times New Roman" w:cs="Times New Roman"/>
          <w:i/>
          <w:color w:val="333333"/>
          <w:sz w:val="21"/>
          <w:szCs w:val="21"/>
          <w:shd w:val="clear" w:color="auto" w:fill="FFFFFF"/>
        </w:rPr>
        <w:t>(1976) 4 SCC 0382</w:t>
      </w:r>
    </w:p>
    <w:p w:rsidR="004B1DE4" w:rsidRPr="004B1DE4" w:rsidRDefault="004B1DE4" w:rsidP="004B1DE4">
      <w:pPr>
        <w:spacing w:after="0" w:line="240" w:lineRule="auto"/>
        <w:jc w:val="both"/>
        <w:rPr>
          <w:rFonts w:ascii="Times New Roman" w:hAnsi="Times New Roman" w:cs="Times New Roman"/>
          <w:i/>
          <w:color w:val="333333"/>
          <w:sz w:val="21"/>
          <w:szCs w:val="21"/>
          <w:shd w:val="clear" w:color="auto" w:fill="FFFFFF"/>
        </w:rPr>
      </w:pPr>
      <w:r w:rsidRPr="004B1DE4">
        <w:rPr>
          <w:rFonts w:ascii="Times New Roman" w:hAnsi="Times New Roman" w:cs="Times New Roman"/>
          <w:i/>
          <w:color w:val="333333"/>
          <w:sz w:val="21"/>
          <w:szCs w:val="21"/>
          <w:shd w:val="clear" w:color="auto" w:fill="FFFFFF"/>
          <w:vertAlign w:val="superscript"/>
        </w:rPr>
        <w:t>3</w:t>
      </w:r>
      <w:r w:rsidRPr="004B1DE4">
        <w:rPr>
          <w:rFonts w:ascii="Times New Roman" w:hAnsi="Times New Roman" w:cs="Times New Roman"/>
          <w:i/>
          <w:color w:val="333333"/>
          <w:sz w:val="21"/>
          <w:szCs w:val="21"/>
          <w:shd w:val="clear" w:color="auto" w:fill="FFFFFF"/>
        </w:rPr>
        <w:t>(2002) 7 SCC 0175</w:t>
      </w:r>
    </w:p>
    <w:p w:rsidR="004B1DE4" w:rsidRPr="004B1DE4" w:rsidRDefault="004B1DE4" w:rsidP="004B1DE4">
      <w:pPr>
        <w:spacing w:after="0" w:line="240" w:lineRule="auto"/>
        <w:jc w:val="both"/>
        <w:rPr>
          <w:rFonts w:ascii="Times New Roman" w:hAnsi="Times New Roman" w:cs="Times New Roman"/>
          <w:i/>
          <w:sz w:val="25"/>
          <w:szCs w:val="25"/>
        </w:rPr>
      </w:pPr>
      <w:r w:rsidRPr="004B1DE4">
        <w:rPr>
          <w:rFonts w:ascii="Times New Roman" w:hAnsi="Times New Roman" w:cs="Times New Roman"/>
          <w:i/>
          <w:color w:val="333333"/>
          <w:sz w:val="21"/>
          <w:szCs w:val="21"/>
          <w:shd w:val="clear" w:color="auto" w:fill="FFFFFF"/>
          <w:vertAlign w:val="superscript"/>
        </w:rPr>
        <w:t>4</w:t>
      </w:r>
      <w:r w:rsidRPr="004B1DE4">
        <w:rPr>
          <w:rFonts w:ascii="Times New Roman" w:hAnsi="Times New Roman" w:cs="Times New Roman"/>
          <w:i/>
          <w:color w:val="333333"/>
          <w:sz w:val="21"/>
          <w:szCs w:val="21"/>
          <w:shd w:val="clear" w:color="auto" w:fill="FFFFFF"/>
        </w:rPr>
        <w:t>AIR 2003 SC 3843</w:t>
      </w:r>
    </w:p>
    <w:sectPr w:rsidR="004B1DE4" w:rsidRPr="004B1DE4" w:rsidSect="006F7D2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F6E" w:rsidRDefault="00C06F6E" w:rsidP="004B1DE4">
      <w:pPr>
        <w:spacing w:after="0" w:line="240" w:lineRule="auto"/>
      </w:pPr>
      <w:r>
        <w:separator/>
      </w:r>
    </w:p>
  </w:endnote>
  <w:endnote w:type="continuationSeparator" w:id="1">
    <w:p w:rsidR="00C06F6E" w:rsidRDefault="00C06F6E" w:rsidP="004B1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436922"/>
      <w:docPartObj>
        <w:docPartGallery w:val="Page Numbers (Bottom of Page)"/>
        <w:docPartUnique/>
      </w:docPartObj>
    </w:sdtPr>
    <w:sdtContent>
      <w:p w:rsidR="004B1DE4" w:rsidRPr="004B1DE4" w:rsidRDefault="004B1DE4">
        <w:pPr>
          <w:pStyle w:val="Footer"/>
          <w:jc w:val="center"/>
          <w:rPr>
            <w:rFonts w:ascii="Times New Roman" w:hAnsi="Times New Roman" w:cs="Times New Roman"/>
          </w:rPr>
        </w:pPr>
        <w:r w:rsidRPr="004B1DE4">
          <w:rPr>
            <w:rFonts w:ascii="Times New Roman" w:hAnsi="Times New Roman" w:cs="Times New Roman"/>
          </w:rPr>
          <w:t xml:space="preserve">                                                                   </w:t>
        </w:r>
        <w:r w:rsidRPr="004B1DE4">
          <w:rPr>
            <w:rFonts w:ascii="Times New Roman" w:hAnsi="Times New Roman" w:cs="Times New Roman"/>
          </w:rPr>
          <w:fldChar w:fldCharType="begin"/>
        </w:r>
        <w:r w:rsidRPr="004B1DE4">
          <w:rPr>
            <w:rFonts w:ascii="Times New Roman" w:hAnsi="Times New Roman" w:cs="Times New Roman"/>
          </w:rPr>
          <w:instrText xml:space="preserve"> PAGE   \* MERGEFORMAT </w:instrText>
        </w:r>
        <w:r w:rsidRPr="004B1DE4">
          <w:rPr>
            <w:rFonts w:ascii="Times New Roman" w:hAnsi="Times New Roman" w:cs="Times New Roman"/>
          </w:rPr>
          <w:fldChar w:fldCharType="separate"/>
        </w:r>
        <w:r w:rsidR="00C06F6E">
          <w:rPr>
            <w:rFonts w:ascii="Times New Roman" w:hAnsi="Times New Roman" w:cs="Times New Roman"/>
            <w:noProof/>
          </w:rPr>
          <w:t>1</w:t>
        </w:r>
        <w:r w:rsidRPr="004B1DE4">
          <w:rPr>
            <w:rFonts w:ascii="Times New Roman" w:hAnsi="Times New Roman" w:cs="Times New Roman"/>
          </w:rPr>
          <w:fldChar w:fldCharType="end"/>
        </w:r>
        <w:r w:rsidRPr="004B1DE4">
          <w:rPr>
            <w:rFonts w:ascii="Times New Roman" w:hAnsi="Times New Roman" w:cs="Times New Roman"/>
          </w:rPr>
          <w:t xml:space="preserve">                                                                         SpotLaw</w:t>
        </w:r>
      </w:p>
    </w:sdtContent>
  </w:sdt>
  <w:p w:rsidR="004B1DE4" w:rsidRPr="004B1DE4" w:rsidRDefault="004B1DE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F6E" w:rsidRDefault="00C06F6E" w:rsidP="004B1DE4">
      <w:pPr>
        <w:spacing w:after="0" w:line="240" w:lineRule="auto"/>
      </w:pPr>
      <w:r>
        <w:separator/>
      </w:r>
    </w:p>
  </w:footnote>
  <w:footnote w:type="continuationSeparator" w:id="1">
    <w:p w:rsidR="00C06F6E" w:rsidRDefault="00C06F6E" w:rsidP="004B1D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B1DE4"/>
    <w:rsid w:val="004B1DE4"/>
    <w:rsid w:val="006F7D20"/>
    <w:rsid w:val="00C06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D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1DE4"/>
  </w:style>
  <w:style w:type="character" w:customStyle="1" w:styleId="legspan">
    <w:name w:val="legspan"/>
    <w:basedOn w:val="DefaultParagraphFont"/>
    <w:rsid w:val="004B1DE4"/>
  </w:style>
  <w:style w:type="character" w:customStyle="1" w:styleId="casespan">
    <w:name w:val="casespan"/>
    <w:basedOn w:val="DefaultParagraphFont"/>
    <w:rsid w:val="004B1DE4"/>
  </w:style>
  <w:style w:type="paragraph" w:styleId="ListParagraph">
    <w:name w:val="List Paragraph"/>
    <w:basedOn w:val="Normal"/>
    <w:uiPriority w:val="34"/>
    <w:qFormat/>
    <w:rsid w:val="004B1DE4"/>
    <w:pPr>
      <w:ind w:left="720"/>
      <w:contextualSpacing/>
    </w:pPr>
  </w:style>
  <w:style w:type="paragraph" w:styleId="Header">
    <w:name w:val="header"/>
    <w:basedOn w:val="Normal"/>
    <w:link w:val="HeaderChar"/>
    <w:uiPriority w:val="99"/>
    <w:semiHidden/>
    <w:unhideWhenUsed/>
    <w:rsid w:val="004B1D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1DE4"/>
  </w:style>
  <w:style w:type="paragraph" w:styleId="Footer">
    <w:name w:val="footer"/>
    <w:basedOn w:val="Normal"/>
    <w:link w:val="FooterChar"/>
    <w:uiPriority w:val="99"/>
    <w:unhideWhenUsed/>
    <w:rsid w:val="004B1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DE4"/>
  </w:style>
</w:styles>
</file>

<file path=word/webSettings.xml><?xml version="1.0" encoding="utf-8"?>
<w:webSettings xmlns:r="http://schemas.openxmlformats.org/officeDocument/2006/relationships" xmlns:w="http://schemas.openxmlformats.org/wordprocessingml/2006/main">
  <w:divs>
    <w:div w:id="20359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2298</Words>
  <Characters>13100</Characters>
  <Application>Microsoft Office Word</Application>
  <DocSecurity>0</DocSecurity>
  <Lines>109</Lines>
  <Paragraphs>30</Paragraphs>
  <ScaleCrop>false</ScaleCrop>
  <Company/>
  <LinksUpToDate>false</LinksUpToDate>
  <CharactersWithSpaces>15368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2016-04-06T07:36:00Z</dcterms:created>
  <dcterms:modified xsi:type="dcterms:W3CDTF">2016-04-06T07:42:00Z</dcterms:modified>
</cp:coreProperties>
</file>