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r w:rsidRPr="00AB3FAB">
        <w:rPr>
          <w:rFonts w:ascii="Times New Roman" w:eastAsia="Times New Roman" w:hAnsi="Times New Roman" w:cs="Times New Roman"/>
          <w:b/>
          <w:bCs/>
          <w:color w:val="000000"/>
          <w:sz w:val="25"/>
          <w:szCs w:val="25"/>
        </w:rPr>
        <w:t>SUPREME COURT OF INDIA</w:t>
      </w: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xml:space="preserve">State of Manipur </w:t>
      </w:r>
      <w:r w:rsidR="00AB3FAB">
        <w:rPr>
          <w:rFonts w:ascii="Times New Roman" w:eastAsia="Times New Roman" w:hAnsi="Times New Roman" w:cs="Times New Roman"/>
          <w:color w:val="000000"/>
          <w:sz w:val="25"/>
          <w:szCs w:val="25"/>
        </w:rPr>
        <w:t>&amp; Ors.</w:t>
      </w: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t>Vs</w:t>
      </w:r>
      <w:r w:rsidR="00AB3FAB">
        <w:rPr>
          <w:rFonts w:ascii="Times New Roman" w:eastAsia="Times New Roman" w:hAnsi="Times New Roman" w:cs="Times New Roman"/>
          <w:color w:val="000000"/>
          <w:sz w:val="25"/>
          <w:szCs w:val="25"/>
        </w:rPr>
        <w:t>.</w:t>
      </w:r>
    </w:p>
    <w:p w:rsidR="00657DB9" w:rsidRDefault="00AB3FAB" w:rsidP="00AB3F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Y.</w:t>
      </w:r>
      <w:r w:rsidR="00657DB9" w:rsidRPr="00AB3FAB">
        <w:rPr>
          <w:rFonts w:ascii="Times New Roman" w:eastAsia="Times New Roman" w:hAnsi="Times New Roman" w:cs="Times New Roman"/>
          <w:color w:val="000000"/>
          <w:sz w:val="25"/>
          <w:szCs w:val="25"/>
        </w:rPr>
        <w:t xml:space="preserve">Token Singh </w:t>
      </w:r>
      <w:r>
        <w:rPr>
          <w:rFonts w:ascii="Times New Roman" w:eastAsia="Times New Roman" w:hAnsi="Times New Roman" w:cs="Times New Roman"/>
          <w:color w:val="000000"/>
          <w:sz w:val="25"/>
          <w:szCs w:val="25"/>
        </w:rPr>
        <w:t>&amp; Ors.</w:t>
      </w:r>
    </w:p>
    <w:p w:rsidR="00AB3FAB" w:rsidRPr="00AB3FAB" w:rsidRDefault="00AB3FAB" w:rsidP="00AB3FAB">
      <w:pPr>
        <w:spacing w:after="0" w:line="240" w:lineRule="auto"/>
        <w:jc w:val="center"/>
        <w:rPr>
          <w:rFonts w:ascii="Times New Roman" w:eastAsia="Times New Roman" w:hAnsi="Times New Roman" w:cs="Times New Roman"/>
          <w:color w:val="000000"/>
          <w:sz w:val="25"/>
          <w:szCs w:val="25"/>
        </w:rPr>
      </w:pPr>
    </w:p>
    <w:p w:rsidR="00AB3FAB" w:rsidRDefault="00AB3FAB" w:rsidP="00AB3F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B3FAB">
        <w:rPr>
          <w:rFonts w:ascii="Times New Roman" w:eastAsia="Times New Roman" w:hAnsi="Times New Roman" w:cs="Times New Roman"/>
          <w:color w:val="000000"/>
          <w:sz w:val="25"/>
          <w:szCs w:val="25"/>
        </w:rPr>
        <w:t>849 of 2007</w:t>
      </w:r>
    </w:p>
    <w:p w:rsidR="00AB3FAB" w:rsidRDefault="00AB3FAB" w:rsidP="00AB3FAB">
      <w:pPr>
        <w:spacing w:after="0" w:line="240" w:lineRule="auto"/>
        <w:jc w:val="center"/>
        <w:rPr>
          <w:rFonts w:ascii="Times New Roman" w:eastAsia="Times New Roman" w:hAnsi="Times New Roman" w:cs="Times New Roman"/>
          <w:color w:val="000000"/>
          <w:sz w:val="25"/>
          <w:szCs w:val="25"/>
        </w:rPr>
      </w:pPr>
    </w:p>
    <w:p w:rsidR="00657DB9" w:rsidRPr="00AB3FAB" w:rsidRDefault="00AB3FAB" w:rsidP="00AB3FA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657DB9" w:rsidRPr="00AB3FA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657DB9" w:rsidRPr="00AB3FAB">
        <w:rPr>
          <w:rFonts w:ascii="Times New Roman" w:eastAsia="Times New Roman" w:hAnsi="Times New Roman" w:cs="Times New Roman"/>
          <w:color w:val="000000"/>
          <w:sz w:val="25"/>
          <w:szCs w:val="25"/>
        </w:rPr>
        <w:t>)</w:t>
      </w: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t>20.02.2007</w:t>
      </w: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bookmarkStart w:id="0" w:name="judg"/>
      <w:bookmarkEnd w:id="0"/>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r w:rsidRPr="00AB3FAB">
        <w:rPr>
          <w:rFonts w:ascii="Times New Roman" w:eastAsia="Times New Roman" w:hAnsi="Times New Roman" w:cs="Times New Roman"/>
          <w:b/>
          <w:bCs/>
          <w:color w:val="000000"/>
          <w:sz w:val="25"/>
          <w:szCs w:val="25"/>
        </w:rPr>
        <w:t>JUDGMENT</w:t>
      </w:r>
    </w:p>
    <w:p w:rsidR="00657DB9" w:rsidRPr="00AB3FAB" w:rsidRDefault="00657DB9" w:rsidP="00AB3FAB">
      <w:pPr>
        <w:spacing w:after="0" w:line="240" w:lineRule="auto"/>
        <w:jc w:val="center"/>
        <w:rPr>
          <w:rFonts w:ascii="Times New Roman" w:eastAsia="Times New Roman" w:hAnsi="Times New Roman" w:cs="Times New Roman"/>
          <w:color w:val="000000"/>
          <w:sz w:val="25"/>
          <w:szCs w:val="25"/>
        </w:rPr>
      </w:pP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B3FAB">
        <w:rPr>
          <w:rFonts w:ascii="Times New Roman" w:eastAsia="Times New Roman" w:hAnsi="Times New Roman" w:cs="Times New Roman"/>
          <w:b/>
          <w:bCs/>
          <w:color w:val="000000"/>
          <w:sz w:val="25"/>
          <w:szCs w:val="25"/>
        </w:rPr>
        <w:t>Sinha, J.</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w:t>
      </w: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657DB9" w:rsidRPr="00AB3FAB">
        <w:rPr>
          <w:rFonts w:ascii="Times New Roman" w:eastAsia="Times New Roman" w:hAnsi="Times New Roman" w:cs="Times New Roman"/>
          <w:color w:val="000000"/>
          <w:sz w:val="25"/>
          <w:szCs w:val="25"/>
        </w:rPr>
        <w:t>Leave granted.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 </w:t>
      </w:r>
      <w:r w:rsidRPr="00AB3FAB">
        <w:rPr>
          <w:rFonts w:ascii="Times New Roman" w:eastAsia="Times New Roman" w:hAnsi="Times New Roman" w:cs="Times New Roman"/>
          <w:color w:val="000000"/>
          <w:sz w:val="25"/>
          <w:szCs w:val="25"/>
        </w:rPr>
        <w:t>The State of Manipur is in appeal before us questioning the judgment and order dated 29.07.2005 passed by a Division Bench of the Guwahati High Court in WA Nos. 61, 78, 79, 95 and 100 of 1999 upholding a judgment and order of a learned Single Judge of the said Court dated 19.02.1999 in C.R. Nos. 324, 1012, 568, 1022 and 1023 of 1998.</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3. </w:t>
      </w:r>
      <w:r w:rsidRPr="00AB3FAB">
        <w:rPr>
          <w:rFonts w:ascii="Times New Roman" w:eastAsia="Times New Roman" w:hAnsi="Times New Roman" w:cs="Times New Roman"/>
          <w:color w:val="000000"/>
          <w:sz w:val="25"/>
          <w:szCs w:val="25"/>
        </w:rPr>
        <w:t>One Shri A.J. Tayeng was the Revenue Commissioner of Government of Manipur. The State of Manipur had not framed any recruitment rules for appointment inter alia in the Revenue Department and in particular the field staff thereof. The Commissioner of Revenue Department was conferred with a power of being the cadre controlling authority for non-ministerial post of the Revenue Department. He was also to be the Chairman of the Departmental Promotion Committee for non-ministerial post of the Revenue Department.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4. </w:t>
      </w:r>
      <w:r w:rsidRPr="00AB3FAB">
        <w:rPr>
          <w:rFonts w:ascii="Times New Roman" w:eastAsia="Times New Roman" w:hAnsi="Times New Roman" w:cs="Times New Roman"/>
          <w:color w:val="000000"/>
          <w:sz w:val="25"/>
          <w:szCs w:val="25"/>
        </w:rPr>
        <w:t>The Commissioner allegedly made certain appointments in the posts of Mandols, Process-Servers and Zilladars which was not within the knowledge of the State. The said appointments were made on temporary basis. Appointments were made on 11.09.1997, 22.11.1997 and 5.12.1997.</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5. </w:t>
      </w:r>
      <w:r w:rsidRPr="00AB3FAB">
        <w:rPr>
          <w:rFonts w:ascii="Times New Roman" w:eastAsia="Times New Roman" w:hAnsi="Times New Roman" w:cs="Times New Roman"/>
          <w:color w:val="000000"/>
          <w:sz w:val="25"/>
          <w:szCs w:val="25"/>
        </w:rPr>
        <w:t>A sample copy of the offer of appointment reads as under:</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"No. 1/14/97 Com (Rev) : On the recommendation of D.P.C. and under the directives issued by the Hon'ble Gauhati High Court, the following persons are hereby appointed as Mandols on temporary basis in the scale of pay of Rs. 950-20-1150-EB-25-1400/- per month with usual allowances against thereto existing clear vacancies of Mandals under Revenue Department from the date of their joining on duties.</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lastRenderedPageBreak/>
        <w:br/>
        <w:t>2. Further, they are posted at the places indicate against their names:-</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3. The expenditure is debitable under Appropriate Heads of Accounts of the Departments/ Offices concerned."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6. </w:t>
      </w:r>
      <w:r w:rsidRPr="00AB3FAB">
        <w:rPr>
          <w:rFonts w:ascii="Times New Roman" w:eastAsia="Times New Roman" w:hAnsi="Times New Roman" w:cs="Times New Roman"/>
          <w:color w:val="000000"/>
          <w:sz w:val="25"/>
          <w:szCs w:val="25"/>
        </w:rPr>
        <w:t>No record in regard to the said recruitments was maintained. An inquiry was, therefore, made to find out the authority which had issued the said offers of appointments. Shri Tayeng by a UO Note dated 12.01.1998 denied to have made such an appointment stating: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"CONFIDENTIAL U.O. No. 2/15/93-Com (R) Pt.</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Imphal, the 12th Jan., 1998</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Sub: Submission of report.</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With reference to the U.O. letter No. 2/15/93- Com(R) Pt. Dated 6th January, 1998 regarding the alleged appointment of ad-hoc/ regular appointment to the post of Lambus/ Mandols etc. of the Hon'ble Minister (Revenue), I am to say that I am not all aware of such appointments made by me except for 3 Lambus who were kept in panel for appointment, and accordingly the S.O. (Revenue) Shri Robert Shaiza was instructed to take care. I, therefore, deny making of such appointments.</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On the other hand, Md. A.R. Khan, Secretary (Revenue) has made many appointments of Mandols/ Process Servers/ Zilladars in the recent months against which I have been complaining that the Secretary (Revenue) has no power or authority to make any appointments of field staff as per Rules provided under M.L.R. Act, 1960. In this regard, I have apprised the matter to the Hon'ble Minister (Revenue) already and also informed the Chief Secretary, Manipur explaining that the Secretary (Revenue) cannot make such appointments of field staffs, even if he wanted to do so, all the relevant files should have been routed through the undersigned so that the same may be brought to the notice of the Hon'ble Minister (Revenue). His action has created lots of misunderstanding and confusion. He has been making false and wrong allegations against the Commissioner (Revenue) and putting him false position. It is for this reason, I have been writing to all the Deputy Commissioners in the Districts even by sending W/T messages clarifying the actual position of making any appointment of Revenue field staff. I still deny that I have made any appointment of field staffs of Revenue Department during the recent months.</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Submitted for information and consideration.</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Sd/- 12/1/98 (Annayok J. Tayeng) Commissioner (Revenue) Govt. of Manipur Minister (Revenue)"</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 </w:t>
      </w: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657DB9" w:rsidRPr="00AB3FAB">
        <w:rPr>
          <w:rFonts w:ascii="Times New Roman" w:eastAsia="Times New Roman" w:hAnsi="Times New Roman" w:cs="Times New Roman"/>
          <w:color w:val="000000"/>
          <w:sz w:val="25"/>
          <w:szCs w:val="25"/>
        </w:rPr>
        <w:t>In view of the aforementioned stand taken by the said Shri Tayeng, the offers of appointment issued in favour of the Respondents were cancelled by an order dated 17.02.1998. A corrigendum thereto was, however, issued on 21.02.1998 stating: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"No. 2/15/93-Com(Rev) Temp-I: Please read as "August/97" in place of "October/97" occurring in the 4th line of this Government order No. 2/15/93- Com(Rev) Temp-I dated 17-2-1998."</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657DB9" w:rsidRPr="00AB3FAB">
        <w:rPr>
          <w:rFonts w:ascii="Times New Roman" w:eastAsia="Times New Roman" w:hAnsi="Times New Roman" w:cs="Times New Roman"/>
          <w:color w:val="000000"/>
          <w:sz w:val="25"/>
          <w:szCs w:val="25"/>
        </w:rPr>
        <w:t>In Civil Appeal arising out of SLP (C) No. 19375-19376 of 2005, the respondents were appointed on ad hoc basis for a period of six months. Their appointments were also cancelled on similar grounds.</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9. </w:t>
      </w:r>
      <w:r w:rsidRPr="00AB3FAB">
        <w:rPr>
          <w:rFonts w:ascii="Times New Roman" w:eastAsia="Times New Roman" w:hAnsi="Times New Roman" w:cs="Times New Roman"/>
          <w:color w:val="000000"/>
          <w:sz w:val="25"/>
          <w:szCs w:val="25"/>
        </w:rPr>
        <w:t>The respondents herein filed writ petitions before the High Court on 4.06.1998 questioning the said order of cancellation of their appointments. The said Shri Tayeng retired on 28.02.1998. Despite the fact that he, in his UO Note dated 12.02.1998 addressed to the Minister of Revenue, denied to have made any appointment, when approached by the writ petitioners - respondents, he affirmed in their support an affidavit in the High Court stating: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"3. That, while I was functioning as Revenue Commissioner, Manipur, matters relating to appointment on the recommendation of the D.P.C., transfer etc. were put-up to me in files and I used to pass order on the basis of facts presented to me in file. I also issued appointment order under my signature. After my retirement from service I have no access to such files. As stated above, I was transferred and posted to the Manipur Electronics Development Corporation during 1997.</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4. That after my retirement, some of the writ petitioners civil Rule No. 568 of 1998, came to me and show copy of the writ petition and the counter affidavit of the respondent No. 1, 2 and 3. I have gone through the copy of the writ petition and the counter-affidavit and annexures thereto. The Xerox copy of the cyclostyled appointment order bearing No. 1/14/97 Com (Rev.) dated 11.9.97 (annexure A/1 to the writ petition) appointing 3 persons to the post of Mandol and No. 1/14/97- Com. (Rev.) dated 11.9.97 (Annexure A/2 to the writ petition) appointing 4 persons to the post of Mandol, are perused by me minutely. I submit that these appointment orders (annexures A/1 and A/2) bear my signature (initial) and appear to have been issued under my signature. It appears that the appointment orders were issued after complying the formalities prescribed therefor which can be ascertained from the relevant official file. Since I have retired from service, I have no access to the file and do not know what might have been in the file and where is the file.</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Verified that the above statements are true to the best of my knowledge and no part of it is false."</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657DB9" w:rsidRPr="00AB3FAB">
        <w:rPr>
          <w:rFonts w:ascii="Times New Roman" w:eastAsia="Times New Roman" w:hAnsi="Times New Roman" w:cs="Times New Roman"/>
          <w:color w:val="000000"/>
          <w:sz w:val="25"/>
          <w:szCs w:val="25"/>
        </w:rPr>
        <w:t>The writ petitions filed by the respondents herein were allowed by a learned Single Judge of the High Court opining: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w:t>
      </w:r>
      <w:r w:rsidRPr="00AB3FAB">
        <w:rPr>
          <w:rFonts w:ascii="Times New Roman" w:eastAsia="Times New Roman" w:hAnsi="Times New Roman" w:cs="Times New Roman"/>
          <w:color w:val="000000"/>
          <w:sz w:val="25"/>
          <w:szCs w:val="25"/>
        </w:rPr>
        <w:t>(i) The principles of natural justice having not been complied with, the impugned orders cannot be sustained.</w:t>
      </w:r>
    </w:p>
    <w:p w:rsidR="00657DB9" w:rsidRPr="00AB3FAB" w:rsidRDefault="00657DB9" w:rsidP="00AB3FAB">
      <w:pPr>
        <w:spacing w:after="0" w:line="240" w:lineRule="auto"/>
        <w:ind w:left="720"/>
        <w:jc w:val="both"/>
        <w:rPr>
          <w:rFonts w:ascii="Times New Roman" w:eastAsia="Times New Roman" w:hAnsi="Times New Roman" w:cs="Times New Roman"/>
          <w:i/>
          <w:color w:val="000000"/>
          <w:sz w:val="25"/>
          <w:szCs w:val="25"/>
        </w:rPr>
      </w:pPr>
      <w:r w:rsidRPr="00AB3FAB">
        <w:rPr>
          <w:rFonts w:ascii="Times New Roman" w:eastAsia="Times New Roman" w:hAnsi="Times New Roman" w:cs="Times New Roman"/>
          <w:color w:val="000000"/>
          <w:sz w:val="25"/>
          <w:szCs w:val="25"/>
        </w:rPr>
        <w:br/>
        <w:t xml:space="preserve">(ii) Whereas, in the impugned order, the appointments of the respondents were said to have been passed without the knowledge of the Administrative Department (Revenue Department); in the counter affidavit, it was stated that no records were available in respect thereof and, thus, the said plea being inconsistent with each other, the orders of cancellation of appointment would be bad in law in the light of a decision of this Court in </w:t>
      </w:r>
      <w:r w:rsidRPr="00AB3FAB">
        <w:rPr>
          <w:rFonts w:ascii="Times New Roman" w:eastAsia="Times New Roman" w:hAnsi="Times New Roman" w:cs="Times New Roman"/>
          <w:i/>
          <w:color w:val="000000"/>
          <w:sz w:val="25"/>
          <w:szCs w:val="25"/>
        </w:rPr>
        <w:t>Mohinder Singh Gill and Anr. v. Chief Election</w:t>
      </w:r>
      <w:r w:rsidR="00AB3FAB">
        <w:rPr>
          <w:rFonts w:ascii="Times New Roman" w:eastAsia="Times New Roman" w:hAnsi="Times New Roman" w:cs="Times New Roman"/>
          <w:i/>
          <w:color w:val="000000"/>
          <w:sz w:val="25"/>
          <w:szCs w:val="25"/>
        </w:rPr>
        <w:t xml:space="preserve"> Commissioner, Delhi and Ors</w:t>
      </w:r>
      <w:r w:rsidR="00AB3FAB" w:rsidRPr="00AB3FAB">
        <w:rPr>
          <w:rFonts w:ascii="Times New Roman" w:eastAsia="Times New Roman" w:hAnsi="Times New Roman" w:cs="Times New Roman"/>
          <w:i/>
          <w:color w:val="000000"/>
          <w:sz w:val="20"/>
          <w:szCs w:val="20"/>
          <w:vertAlign w:val="superscript"/>
        </w:rPr>
        <w:t>1</w:t>
      </w:r>
      <w:r w:rsidR="00AB3FAB">
        <w:rPr>
          <w:rFonts w:ascii="Times New Roman" w:eastAsia="Times New Roman" w:hAnsi="Times New Roman" w:cs="Times New Roman"/>
          <w:i/>
          <w:color w:val="000000"/>
          <w:sz w:val="25"/>
          <w:szCs w:val="25"/>
        </w:rPr>
        <w:t xml:space="preserve">.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w:t>
      </w: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657DB9" w:rsidRPr="00AB3FAB">
        <w:rPr>
          <w:rFonts w:ascii="Times New Roman" w:eastAsia="Times New Roman" w:hAnsi="Times New Roman" w:cs="Times New Roman"/>
          <w:color w:val="000000"/>
          <w:sz w:val="25"/>
          <w:szCs w:val="25"/>
        </w:rPr>
        <w:t>However, it was observed: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t>"However, it is further made clear that the State respondent are at liberty to initiate or take up any appropriate legal action in the matter pertaining to their alleged fake appointments in their respective posts in accordance with law and pass necessary order after affording reasonable opportunity of being heard to them."</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t>(iii) So far as the matter relating to Civil Appeal arising out of SLP (C) No. 19375-19376 of 2005 is concerned, it was directed that as the appointment of the respondents were made for a period of six months, the employees were only entitled to the salary for the said period.</w:t>
      </w:r>
    </w:p>
    <w:p w:rsidR="00AB3FAB" w:rsidRDefault="00AB3FAB" w:rsidP="00AB3FAB">
      <w:pPr>
        <w:spacing w:after="0" w:line="240" w:lineRule="auto"/>
        <w:jc w:val="both"/>
        <w:rPr>
          <w:rFonts w:ascii="Times New Roman" w:eastAsia="Times New Roman" w:hAnsi="Times New Roman" w:cs="Times New Roman"/>
          <w:color w:val="000000"/>
          <w:sz w:val="25"/>
          <w:szCs w:val="25"/>
        </w:rPr>
      </w:pP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657DB9" w:rsidRPr="00AB3FAB">
        <w:rPr>
          <w:rFonts w:ascii="Times New Roman" w:eastAsia="Times New Roman" w:hAnsi="Times New Roman" w:cs="Times New Roman"/>
          <w:color w:val="000000"/>
          <w:sz w:val="25"/>
          <w:szCs w:val="25"/>
        </w:rPr>
        <w:t>The writ appeals preferred thereagainst by the appellants herein were dismissed.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13. </w:t>
      </w:r>
      <w:r w:rsidRPr="00AB3FAB">
        <w:rPr>
          <w:rFonts w:ascii="Times New Roman" w:eastAsia="Times New Roman" w:hAnsi="Times New Roman" w:cs="Times New Roman"/>
          <w:color w:val="000000"/>
          <w:sz w:val="25"/>
          <w:szCs w:val="25"/>
        </w:rPr>
        <w:t xml:space="preserve">Mr. Jaideep Gupta, learned senior counsel appearing on behalf of the appellants, would submit that the High Court went wrong in passing the impugned judgment insofar as it failed to take into consideration that in a case of this nature it was not necessary to comply with the principles of natural justice. Strong reliance in this behalf has been placed on </w:t>
      </w:r>
      <w:r w:rsidRPr="00AB3FAB">
        <w:rPr>
          <w:rFonts w:ascii="Times New Roman" w:eastAsia="Times New Roman" w:hAnsi="Times New Roman" w:cs="Times New Roman"/>
          <w:i/>
          <w:color w:val="000000"/>
          <w:sz w:val="25"/>
          <w:szCs w:val="25"/>
        </w:rPr>
        <w:t>Kendriya Vidyalaya Sangathan and Others v. Ajay Kumar Das and Others</w:t>
      </w:r>
      <w:r w:rsidR="00AB3FAB" w:rsidRPr="00AB3FAB">
        <w:rPr>
          <w:rFonts w:ascii="Times New Roman" w:eastAsia="Times New Roman" w:hAnsi="Times New Roman" w:cs="Times New Roman"/>
          <w:i/>
          <w:color w:val="000000"/>
          <w:sz w:val="20"/>
          <w:szCs w:val="20"/>
          <w:vertAlign w:val="superscript"/>
        </w:rPr>
        <w:t>2</w:t>
      </w:r>
      <w:r w:rsidRPr="00AB3FAB">
        <w:rPr>
          <w:rFonts w:ascii="Times New Roman" w:eastAsia="Times New Roman" w:hAnsi="Times New Roman" w:cs="Times New Roman"/>
          <w:color w:val="000000"/>
          <w:sz w:val="25"/>
          <w:szCs w:val="25"/>
        </w:rPr>
        <w: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14. </w:t>
      </w:r>
      <w:r w:rsidRPr="00AB3FAB">
        <w:rPr>
          <w:rFonts w:ascii="Times New Roman" w:eastAsia="Times New Roman" w:hAnsi="Times New Roman" w:cs="Times New Roman"/>
          <w:color w:val="000000"/>
          <w:sz w:val="25"/>
          <w:szCs w:val="25"/>
        </w:rPr>
        <w:t>It was argued that the question, as to whether appointments were made without the knowledge of the Department or for that matter whether any record was available therefor was of not much significance as in effect and substance they lead to the same inference and in that view of the matter, the decision of this Court in Mohinder Singh Gill (supra) was not attracted.</w:t>
      </w:r>
    </w:p>
    <w:p w:rsidR="00657DB9" w:rsidRPr="00AB3FAB" w:rsidRDefault="00657DB9" w:rsidP="00AB3FAB">
      <w:pPr>
        <w:spacing w:after="0" w:line="240" w:lineRule="auto"/>
        <w:jc w:val="both"/>
        <w:rPr>
          <w:rFonts w:ascii="Times New Roman" w:eastAsia="Times New Roman" w:hAnsi="Times New Roman" w:cs="Times New Roman"/>
          <w:i/>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15. </w:t>
      </w:r>
      <w:r w:rsidRPr="00AB3FAB">
        <w:rPr>
          <w:rFonts w:ascii="Times New Roman" w:eastAsia="Times New Roman" w:hAnsi="Times New Roman" w:cs="Times New Roman"/>
          <w:color w:val="000000"/>
          <w:sz w:val="25"/>
          <w:szCs w:val="25"/>
        </w:rPr>
        <w:t xml:space="preserve">Mr. S.B. Sanyal, learned counsel appearing on behalf of the respondents, on the other hand, would submit that the question as to whether the appointments of the respondents were nullities or not having not been raised before the High Court, this Court should not permit the appellants to raise the said contention at this stage. The learned counsel would submit that even in a case of this nature, it was incumbent upon the appellants to comply with the principles of natural justice. Strong reliance in this behalf has been placed on </w:t>
      </w:r>
      <w:r w:rsidRPr="00AB3FAB">
        <w:rPr>
          <w:rFonts w:ascii="Times New Roman" w:eastAsia="Times New Roman" w:hAnsi="Times New Roman" w:cs="Times New Roman"/>
          <w:i/>
          <w:color w:val="000000"/>
          <w:sz w:val="25"/>
          <w:szCs w:val="25"/>
        </w:rPr>
        <w:t>Parshotam</w:t>
      </w:r>
      <w:r w:rsidR="00AB3FAB">
        <w:rPr>
          <w:rFonts w:ascii="Times New Roman" w:eastAsia="Times New Roman" w:hAnsi="Times New Roman" w:cs="Times New Roman"/>
          <w:i/>
          <w:color w:val="000000"/>
          <w:sz w:val="25"/>
          <w:szCs w:val="25"/>
        </w:rPr>
        <w:t xml:space="preserve"> Lal Dhingra v. Union of India </w:t>
      </w:r>
      <w:r w:rsidR="00AB3FAB" w:rsidRPr="00AB3FAB">
        <w:rPr>
          <w:rFonts w:ascii="Times New Roman" w:eastAsia="Times New Roman" w:hAnsi="Times New Roman" w:cs="Times New Roman"/>
          <w:i/>
          <w:color w:val="000000"/>
          <w:sz w:val="20"/>
          <w:szCs w:val="20"/>
          <w:vertAlign w:val="superscript"/>
        </w:rPr>
        <w:t>3</w:t>
      </w:r>
      <w:r w:rsidRPr="00AB3FAB">
        <w:rPr>
          <w:rFonts w:ascii="Times New Roman" w:eastAsia="Times New Roman" w:hAnsi="Times New Roman" w:cs="Times New Roman"/>
          <w:i/>
          <w:color w:val="000000"/>
          <w:sz w:val="25"/>
          <w:szCs w:val="25"/>
        </w:rPr>
        <w:t> , Murugayya Udayar and Another v. Kothampatti Muniyandavar Te</w:t>
      </w:r>
      <w:r w:rsidR="00AB3FAB">
        <w:rPr>
          <w:rFonts w:ascii="Times New Roman" w:eastAsia="Times New Roman" w:hAnsi="Times New Roman" w:cs="Times New Roman"/>
          <w:i/>
          <w:color w:val="000000"/>
          <w:sz w:val="25"/>
          <w:szCs w:val="25"/>
        </w:rPr>
        <w:t xml:space="preserve">mple by Trustee Pappathi Ammal </w:t>
      </w:r>
      <w:r w:rsidR="00AB3FAB" w:rsidRPr="00AB3FAB">
        <w:rPr>
          <w:rFonts w:ascii="Times New Roman" w:eastAsia="Times New Roman" w:hAnsi="Times New Roman" w:cs="Times New Roman"/>
          <w:i/>
          <w:color w:val="000000"/>
          <w:sz w:val="20"/>
          <w:szCs w:val="20"/>
          <w:vertAlign w:val="superscript"/>
        </w:rPr>
        <w:t>4</w:t>
      </w:r>
      <w:r w:rsidRPr="00AB3FAB">
        <w:rPr>
          <w:rFonts w:ascii="Times New Roman" w:eastAsia="Times New Roman" w:hAnsi="Times New Roman" w:cs="Times New Roman"/>
          <w:i/>
          <w:color w:val="000000"/>
          <w:sz w:val="25"/>
          <w:szCs w:val="25"/>
        </w:rPr>
        <w:t>  and Kumari Shrilekha Vidyarthi and Othe</w:t>
      </w:r>
      <w:r w:rsidR="00AB3FAB">
        <w:rPr>
          <w:rFonts w:ascii="Times New Roman" w:eastAsia="Times New Roman" w:hAnsi="Times New Roman" w:cs="Times New Roman"/>
          <w:i/>
          <w:color w:val="000000"/>
          <w:sz w:val="25"/>
          <w:szCs w:val="25"/>
        </w:rPr>
        <w:t>rs v. State of U.P. and Others</w:t>
      </w:r>
      <w:r w:rsidR="00AB3FAB" w:rsidRPr="00AB3FAB">
        <w:rPr>
          <w:rFonts w:ascii="Times New Roman" w:eastAsia="Times New Roman" w:hAnsi="Times New Roman" w:cs="Times New Roman"/>
          <w:i/>
          <w:color w:val="000000"/>
          <w:sz w:val="20"/>
          <w:szCs w:val="20"/>
          <w:vertAlign w:val="superscript"/>
        </w:rPr>
        <w:t>5</w:t>
      </w:r>
      <w:r w:rsidRPr="00AB3FAB">
        <w:rPr>
          <w:rFonts w:ascii="Times New Roman" w:eastAsia="Times New Roman" w:hAnsi="Times New Roman" w:cs="Times New Roman"/>
          <w:i/>
          <w:color w:val="000000"/>
          <w:sz w:val="25"/>
          <w:szCs w:val="25"/>
        </w:rPr>
        <w:t> .</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16. </w:t>
      </w:r>
      <w:r w:rsidRPr="00AB3FAB">
        <w:rPr>
          <w:rFonts w:ascii="Times New Roman" w:eastAsia="Times New Roman" w:hAnsi="Times New Roman" w:cs="Times New Roman"/>
          <w:color w:val="000000"/>
          <w:sz w:val="25"/>
          <w:szCs w:val="25"/>
        </w:rPr>
        <w:t>The State while offering appointments, having regard to the constitutional scheme adumbrated in Articles 14 and 16 of the Constitution Of India, 1950, must comply with its constitutional duty, subject to just and proper exceptions, to give an opportunity of being considered for appointment to all persons eligible therefor.</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17. </w:t>
      </w:r>
      <w:r w:rsidRPr="00AB3FAB">
        <w:rPr>
          <w:rFonts w:ascii="Times New Roman" w:eastAsia="Times New Roman" w:hAnsi="Times New Roman" w:cs="Times New Roman"/>
          <w:color w:val="000000"/>
          <w:sz w:val="25"/>
          <w:szCs w:val="25"/>
        </w:rPr>
        <w:t>The posts of field staffs of the Revenue Department of the State of Manipur were, thus, required to be filled up having regard to the said constitutional scheme. We would proceed on the assumption that the State had not framed any recruitment rules in terms of the proviso appended to Article 309 of the Constitution Of India, 1950 but the same by itself would not clothe the Commissioner of Revenue to make recruitments in violation of the provisions contained in Articles 14 and 16 of the Constitution Of India, 1950.</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18. </w:t>
      </w:r>
      <w:r w:rsidRPr="00AB3FAB">
        <w:rPr>
          <w:rFonts w:ascii="Times New Roman" w:eastAsia="Times New Roman" w:hAnsi="Times New Roman" w:cs="Times New Roman"/>
          <w:color w:val="000000"/>
          <w:sz w:val="25"/>
          <w:szCs w:val="25"/>
        </w:rPr>
        <w:t>The offers of appointment issued in favour of the respondents herein were cancelled inter alia on the premise that the same had been done without the knowledge of the Revenue Department of the State. No records therefor were available with the State. As noticed hereinbefore, an inquiry had been made wherein the said Shri Tayeng, the then Commissioner of Revenue stated that no such appointment had been made to his knowledge. The State proceeded on the said basis. The offers of appointment were cancelled not on the ground that some irregularities had been committed in the process of recruitment but on the ground that they had been non-est in the eye of law. The purported appointment letters were fake ones. They were not issued by any authority competent therefor.</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19. </w:t>
      </w:r>
      <w:r w:rsidRPr="00AB3FAB">
        <w:rPr>
          <w:rFonts w:ascii="Times New Roman" w:eastAsia="Times New Roman" w:hAnsi="Times New Roman" w:cs="Times New Roman"/>
          <w:color w:val="000000"/>
          <w:sz w:val="25"/>
          <w:szCs w:val="25"/>
        </w:rPr>
        <w:t>If the offers of appointments issued in favour of the respondents herein were forged documents, the State could not have been compelled to pay salaries to them from the State exchequer. Any action, which had not been taken by an authority competent therefor and in complete violation of the constitutional and legal framework, would not be binding on the State. In any event, having regard to the fact that the said authority himself had denied to have issued a letter, there was no reason for the State not to act pursuant thereto or in furtherance thereof. The action of the State did not, thus, lack bona fide.</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20. </w:t>
      </w:r>
      <w:r w:rsidRPr="00AB3FAB">
        <w:rPr>
          <w:rFonts w:ascii="Times New Roman" w:eastAsia="Times New Roman" w:hAnsi="Times New Roman" w:cs="Times New Roman"/>
          <w:color w:val="000000"/>
          <w:sz w:val="25"/>
          <w:szCs w:val="25"/>
        </w:rPr>
        <w:t>Moreover, it was for the respondents who had filed the writ petitions to prove existence of legal right in their favour. They had inter alia prayed for issuance of a writ of or in the nature of mandamus. It was, thus, for them to establish existence of a legal right in their favour and a corresponding legal duty in the respondents to continue to be employed. With a view to establish their legal rights to enable the High Court to issue a writ of mandamus, the respondents were obligated to establish that the appointments had been made upon following the constitutional mandate adumbrated in Articles 14 and 16 of the Constitution Of India, 1950. They have not been able to show that any advertisement had been issued inviting applications from eligible candidates to fill up the said posts. It has also not been shown that the vacancies had been notified to the employment exchange.</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21. </w:t>
      </w:r>
      <w:r w:rsidRPr="00AB3FAB">
        <w:rPr>
          <w:rFonts w:ascii="Times New Roman" w:eastAsia="Times New Roman" w:hAnsi="Times New Roman" w:cs="Times New Roman"/>
          <w:color w:val="000000"/>
          <w:sz w:val="25"/>
          <w:szCs w:val="25"/>
        </w:rPr>
        <w:t>The Commissioner furthermore was not the appointing authority. He was only a cadre controlling authority. He was merely put a Chairman of the DPC for non-ministerial post of the Revenue Department.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22. </w:t>
      </w:r>
      <w:r w:rsidRPr="00AB3FAB">
        <w:rPr>
          <w:rFonts w:ascii="Times New Roman" w:eastAsia="Times New Roman" w:hAnsi="Times New Roman" w:cs="Times New Roman"/>
          <w:color w:val="000000"/>
          <w:sz w:val="25"/>
          <w:szCs w:val="25"/>
        </w:rPr>
        <w:t>The term "DPC" would ordinarily mean the Departmental Promotion Committee. The respondents had not been validly appointed and in that view of the matter, the question of their case being considered for promotion and/ or recruitment by the DPC did not and could not arise. Even assuming that DPC would mean Selection Committee, there is noting on record to show who were its members and how and at whose instance it was constituted. The Commissioner, as noticed hereinbefore, was the Chairman of the DPC. How the matter was referred to the DPC has not been disclosed. Even the affidavit affirmed by Shri Tayeng before the High Court in this behalf is silent.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23. </w:t>
      </w:r>
      <w:r w:rsidRPr="00AB3FAB">
        <w:rPr>
          <w:rFonts w:ascii="Times New Roman" w:eastAsia="Times New Roman" w:hAnsi="Times New Roman" w:cs="Times New Roman"/>
          <w:color w:val="000000"/>
          <w:sz w:val="25"/>
          <w:szCs w:val="25"/>
        </w:rPr>
        <w:t>The appointing authority, in absence of any delegation of power having been made in that behalf, was the State Government. The Government Order dated 12.01.1998 did not delegate the power of appointment to the Commissioner. He, therefore, was wholly incompetent to issue the appointment letters.</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24. </w:t>
      </w:r>
      <w:r w:rsidRPr="00AB3FAB">
        <w:rPr>
          <w:rFonts w:ascii="Times New Roman" w:eastAsia="Times New Roman" w:hAnsi="Times New Roman" w:cs="Times New Roman"/>
          <w:color w:val="000000"/>
          <w:sz w:val="25"/>
          <w:szCs w:val="25"/>
        </w:rPr>
        <w:t>The respondents, therefore, in our opinion, were not entitled to hold the posts. In a case of this nature, where the facts are admitted, the principles of natural justice were not required to be complied with, particularly when the same would result in futility.  It is true that where appointments had been made by a competent authority or at least some steps have been taken in that behalf, the principles of natural justice are required to be complied with, in view of the decision of this Court in Murugayya Udayar (supra).</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25. </w:t>
      </w:r>
      <w:r w:rsidRPr="00AB3FAB">
        <w:rPr>
          <w:rFonts w:ascii="Times New Roman" w:eastAsia="Times New Roman" w:hAnsi="Times New Roman" w:cs="Times New Roman"/>
          <w:color w:val="000000"/>
          <w:sz w:val="25"/>
          <w:szCs w:val="25"/>
        </w:rPr>
        <w:t>We, as noticed hereinbefore, do not know as to under what circumstances the orders of appointments were issued.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26. </w:t>
      </w:r>
      <w:r w:rsidRPr="00AB3FAB">
        <w:rPr>
          <w:rFonts w:ascii="Times New Roman" w:eastAsia="Times New Roman" w:hAnsi="Times New Roman" w:cs="Times New Roman"/>
          <w:color w:val="000000"/>
          <w:sz w:val="25"/>
          <w:szCs w:val="25"/>
        </w:rPr>
        <w:t>The said decision is not an authority for the proposition that the principles of natural justice are required to be complied with in all situations.</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27. </w:t>
      </w:r>
      <w:r w:rsidRPr="00AB3FAB">
        <w:rPr>
          <w:rFonts w:ascii="Times New Roman" w:eastAsia="Times New Roman" w:hAnsi="Times New Roman" w:cs="Times New Roman"/>
          <w:color w:val="000000"/>
          <w:sz w:val="25"/>
          <w:szCs w:val="25"/>
        </w:rPr>
        <w:t>In Kumari Shrilekha Vidyarthi (supra), this Court was dealing with a question in regard to continuance of the Law Officers. The question which arose herein was not raised. It was held:</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"34. In our opinion, the wide sweep of Article 14 undoubtedly takes within its fold the impugned circular issued by the State of U.P. in exercise of its executive power, irrespective of the precise nature of appointment of the Government Counsel in the districts and the other rights, contractual or statutory, which the appointees may have. It is for this reason that we base our decision on the ground that independent of any statutory right, available to the appointees, and assuming for the purpose of this case that the rights flow only from the contract of appointment, the impugned circular, issued in exercise of the executive power of the State, must satisfy Article 14 of the Constitution Of India, 1950 and if it is shown to be arbitrary, it must be struck down. However, we have referred to certain provisions relating to initial appointment, termination or renewal of tenure to indicate that the action is controlled at least by settled guidelines, followed by the State of U.P., for a long time. This too is relevant for deciding the question of arbitrariness alleged in the present case.</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Cs/>
          <w:color w:val="000000"/>
          <w:sz w:val="25"/>
          <w:szCs w:val="25"/>
        </w:rPr>
        <w:br/>
        <w:t>35. It is now too well settled that every State action, in order to survive, must not be susceptible to the vice of arbitrariness which is the crux of Article 14 of the Constitution Of India, 1950 and basic to the rule of law, the system which governs us. Arbitrariness is the very negation of the rule of law. Satisfaction of this basic test in every State action is sine qua non to its validity and in this respect, the State cannot claim comparison with a private individual even in the field of contract. This distinction between the State and a private individual in the field of contract has to be borne in the mind."</w:t>
      </w:r>
    </w:p>
    <w:p w:rsidR="00AB3FAB" w:rsidRDefault="00AB3FAB" w:rsidP="00AB3FAB">
      <w:pPr>
        <w:spacing w:after="0" w:line="240" w:lineRule="auto"/>
        <w:jc w:val="both"/>
        <w:rPr>
          <w:rFonts w:ascii="Times New Roman" w:eastAsia="Times New Roman" w:hAnsi="Times New Roman" w:cs="Times New Roman"/>
          <w:iCs/>
          <w:color w:val="000000"/>
          <w:sz w:val="25"/>
          <w:szCs w:val="25"/>
        </w:rPr>
      </w:pPr>
    </w:p>
    <w:p w:rsidR="00657DB9" w:rsidRPr="00AB3FAB" w:rsidRDefault="00AB3FAB" w:rsidP="00AB3FA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28. </w:t>
      </w:r>
      <w:r w:rsidR="00657DB9" w:rsidRPr="00AB3FAB">
        <w:rPr>
          <w:rFonts w:ascii="Times New Roman" w:eastAsia="Times New Roman" w:hAnsi="Times New Roman" w:cs="Times New Roman"/>
          <w:color w:val="000000"/>
          <w:sz w:val="25"/>
          <w:szCs w:val="25"/>
        </w:rPr>
        <w:t>We in the facts and circumstances of this case do not see any arbitrariness on the part of the State in its action directing cancellation of appointments.</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29. </w:t>
      </w:r>
      <w:r w:rsidRPr="00AB3FAB">
        <w:rPr>
          <w:rFonts w:ascii="Times New Roman" w:eastAsia="Times New Roman" w:hAnsi="Times New Roman" w:cs="Times New Roman"/>
          <w:color w:val="000000"/>
          <w:sz w:val="25"/>
          <w:szCs w:val="25"/>
        </w:rPr>
        <w:t xml:space="preserve">We may, on the other hand, notice that Kumari Shrilekha Vidyarthi (supra) has been distinguished by this Court in </w:t>
      </w:r>
      <w:r w:rsidRPr="00AB3FAB">
        <w:rPr>
          <w:rFonts w:ascii="Times New Roman" w:eastAsia="Times New Roman" w:hAnsi="Times New Roman" w:cs="Times New Roman"/>
          <w:i/>
          <w:color w:val="000000"/>
          <w:sz w:val="25"/>
          <w:szCs w:val="25"/>
        </w:rPr>
        <w:t>State of U.P. and Others v. U.P. State Law Of</w:t>
      </w:r>
      <w:r w:rsidR="00AB3FAB">
        <w:rPr>
          <w:rFonts w:ascii="Times New Roman" w:eastAsia="Times New Roman" w:hAnsi="Times New Roman" w:cs="Times New Roman"/>
          <w:i/>
          <w:color w:val="000000"/>
          <w:sz w:val="25"/>
          <w:szCs w:val="25"/>
        </w:rPr>
        <w:t>ficers Association and Others</w:t>
      </w:r>
      <w:r w:rsidR="00AB3FAB" w:rsidRPr="00AB3FAB">
        <w:rPr>
          <w:rFonts w:ascii="Times New Roman" w:eastAsia="Times New Roman" w:hAnsi="Times New Roman" w:cs="Times New Roman"/>
          <w:i/>
          <w:color w:val="000000"/>
          <w:sz w:val="20"/>
          <w:szCs w:val="20"/>
          <w:vertAlign w:val="superscript"/>
        </w:rPr>
        <w:t>6</w:t>
      </w:r>
      <w:r w:rsidRPr="00AB3FAB">
        <w:rPr>
          <w:rFonts w:ascii="Times New Roman" w:eastAsia="Times New Roman" w:hAnsi="Times New Roman" w:cs="Times New Roman"/>
          <w:i/>
          <w:color w:val="000000"/>
          <w:sz w:val="25"/>
          <w:szCs w:val="25"/>
        </w:rPr>
        <w:t> s</w:t>
      </w:r>
      <w:r w:rsidRPr="00AB3FAB">
        <w:rPr>
          <w:rFonts w:ascii="Times New Roman" w:eastAsia="Times New Roman" w:hAnsi="Times New Roman" w:cs="Times New Roman"/>
          <w:color w:val="000000"/>
          <w:sz w:val="25"/>
          <w:szCs w:val="25"/>
        </w:rPr>
        <w:t>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"The reliance placed by the respondents in this behalf on Shrilekha Vidyarthi v. State of U.P. is misplaced for the obvious reason that the decision relates to the appointment of the District Government Counsel and the Additional/Assistant District Government Counsel who are the law officers appointed by the State Government to conduct civil, criminal and revenue cases in any court other than the High Court. Their appointments are made through open competition from among those who are eligible for appointment and strictly on the basis of merit as evidenced by the particulars of their practice, opinions of the District Magistrate and the District Judge and also after taking into consideration their character and conduct. Their appointment is in the first instance for one year. It is only after their satisfactory performance during that period that a deed of engagement is given to them, and even then the engagement is to be for a term not exceeding three years. The renewal of their further term again depends upon the quality of work and conduct, capacity as a lawyer, professional conduct, public reputation in general, and character and integrity as certified by the District Magistrate and the District Judge. For the said purpose, the District Magistrate and the District Judge are required to maintain a character roll and a record of the work done by the officer and the capacity displayed by him in discharge of the work. His work is also subject to strict supervision. The shortcomings in the work are required to be brought to the notice of the Legal Remembrancer. It will thus be seen that the appointment of the two sets of officers, viz., the Government Counsel in the High Court with whom we are concerned, and the District Government Counsel with whom the said decision was concerned, are made by dissimilar procedures. The latter are not appointed as a part of the spoils system. Having been selected on merit and for no other consideration, they are entitled to continue in their office for the period of the contract of their engagement and they can be removed only for valid reasons. The people are interested in their continuance for the period of their contracts and in their non-substitution by those who may come in through the spoils system. It is in these circumstances that this Court held that the wholesale termination of their services was arbitrary and violative of Article 14 of the Constitution Of India, 1950. The ratio of the said decision can hardly be applied to the appointments of the law officers in the High Court whose appointment itself was arbitrary and was made in disregard of Article 14 of the Constitution Of India, 1950 as pointed out above"  </w:t>
      </w:r>
      <w:r w:rsidRPr="00AB3FAB">
        <w:rPr>
          <w:rFonts w:ascii="Times New Roman" w:eastAsia="Times New Roman" w:hAnsi="Times New Roman" w:cs="Times New Roman"/>
          <w:color w:val="000000"/>
          <w:sz w:val="25"/>
          <w:szCs w:val="25"/>
        </w:rPr>
        <w:t>[Emphasis added]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30. </w:t>
      </w:r>
      <w:r w:rsidRPr="00AB3FAB">
        <w:rPr>
          <w:rFonts w:ascii="Times New Roman" w:eastAsia="Times New Roman" w:hAnsi="Times New Roman" w:cs="Times New Roman"/>
          <w:color w:val="000000"/>
          <w:sz w:val="25"/>
          <w:szCs w:val="25"/>
        </w:rPr>
        <w:t>In Parshotam Lal Dhingra (supra), this Court held that whoever holds civil posts would be entitled to protection of their services in terms of Clause (2) of Article 309 of the Constitution Of India, 1950 in the event any disciplinary action is taken against them stating: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"The underlying idea obviously is that a provision like this will ensure to them a certain amount of security of tenure. Clause (2) protects government servants against being dismissed or removed or reduced in rank without being given a reasonable opportunity of showing cause against the action proposed to be taken in regard to them. It will be noted that in clause (1) the words dismissed and removed have been used while in clause (2) the words dismissed removed and reduced in rank have been used. The two protections are (1) against being dismissed or removed by an authority subordinate to that by which the appointment had been made, and (2) against being dismissed, removed or reduced in rank without being heard. What, then, is the meaning of those expressions dismissed removed or reduced in rank? It has been said in Jayanti Prasad v. State of Uttar Pradesh that these are technical words used in cases in which a persons services are terminated by way of punishment. Those expressions, it is urged, have been taken from the service rules, where they were used to denote the three major punishments and it is submitted that those expressions should be read and understood in the same sense and treated as words of Art"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31. </w:t>
      </w:r>
      <w:r w:rsidRPr="00AB3FAB">
        <w:rPr>
          <w:rFonts w:ascii="Times New Roman" w:eastAsia="Times New Roman" w:hAnsi="Times New Roman" w:cs="Times New Roman"/>
          <w:color w:val="000000"/>
          <w:sz w:val="25"/>
          <w:szCs w:val="25"/>
        </w:rPr>
        <w:t xml:space="preserve">In </w:t>
      </w:r>
      <w:r w:rsidRPr="00AB3FAB">
        <w:rPr>
          <w:rFonts w:ascii="Times New Roman" w:eastAsia="Times New Roman" w:hAnsi="Times New Roman" w:cs="Times New Roman"/>
          <w:i/>
          <w:color w:val="000000"/>
          <w:sz w:val="25"/>
          <w:szCs w:val="25"/>
        </w:rPr>
        <w:t xml:space="preserve">Dhirender Singh and Others v. State of Haryana and Others </w:t>
      </w:r>
      <w:r w:rsidR="00AB3FAB" w:rsidRPr="00AB3FAB">
        <w:rPr>
          <w:rFonts w:ascii="Times New Roman" w:eastAsia="Times New Roman" w:hAnsi="Times New Roman" w:cs="Times New Roman"/>
          <w:i/>
          <w:color w:val="000000"/>
          <w:sz w:val="20"/>
          <w:szCs w:val="20"/>
          <w:vertAlign w:val="superscript"/>
        </w:rPr>
        <w:t>7</w:t>
      </w:r>
      <w:r w:rsidRPr="00AB3FAB">
        <w:rPr>
          <w:rFonts w:ascii="Times New Roman" w:eastAsia="Times New Roman" w:hAnsi="Times New Roman" w:cs="Times New Roman"/>
          <w:color w:val="000000"/>
          <w:sz w:val="25"/>
          <w:szCs w:val="25"/>
        </w:rPr>
        <w:t>, termination of an order of promotion in favour of the appellant was not interfered with by this Court as the same had not been approved by the DIG, being the competent authority.</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32. </w:t>
      </w:r>
      <w:r w:rsidRPr="00AB3FAB">
        <w:rPr>
          <w:rFonts w:ascii="Times New Roman" w:eastAsia="Times New Roman" w:hAnsi="Times New Roman" w:cs="Times New Roman"/>
          <w:i/>
          <w:color w:val="000000"/>
          <w:sz w:val="25"/>
          <w:szCs w:val="25"/>
        </w:rPr>
        <w:t>In M.C. Mehta v. Union of India and Others</w:t>
      </w:r>
      <w:r w:rsidR="00AB3FAB" w:rsidRPr="00AB3FAB">
        <w:rPr>
          <w:rFonts w:ascii="Times New Roman" w:eastAsia="Times New Roman" w:hAnsi="Times New Roman" w:cs="Times New Roman"/>
          <w:i/>
          <w:color w:val="000000"/>
          <w:sz w:val="20"/>
          <w:szCs w:val="20"/>
          <w:vertAlign w:val="superscript"/>
        </w:rPr>
        <w:t>8</w:t>
      </w:r>
      <w:r w:rsidRPr="00AB3FAB">
        <w:rPr>
          <w:rFonts w:ascii="Times New Roman" w:eastAsia="Times New Roman" w:hAnsi="Times New Roman" w:cs="Times New Roman"/>
          <w:color w:val="000000"/>
          <w:sz w:val="25"/>
          <w:szCs w:val="25"/>
        </w:rPr>
        <w:t>, this Court developed the "useless formality" theory stating:</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"More recently Lord Bingham has deprecated the useless formality theory in R. v. Chief Constable of the Thames Valley Police Forces, ex p Cotton by giving six reasons. (See also his article Should Public Law Remedies be Discretionary? 1991 PL, p. 64.) A detailed and emphatic criticism of the useless formality theory has been made much earlier in Natural Justice, Substance or Shadow by Prof. D.H. Clark of Canada (see 1975 PL, pp. 27- 63) contending that Malloch and Glynn were wrongly decided. Foulkes (Administrative Law, 8th Edn., 1996, p. 323), Craig (Administrative Law, 3rd Edn., p. 596) and others say that the court cannot prejudge what is to be decided by the decision-making authority. de Smith (5th Edn., 1994, paras 10.031 to 10.036) says courts have not yet committed themselves to any one view though discretion is always with the court. Wade (Administrative Law, 5th Edn., 1994, pp. 526-30) says that while futile writs may not be issued, a distinction has to be made according to the nature of the decision. Thus, in relation to cases other than those relating to admitted or indisputable facts, there is a considerable divergence of opinion whether the applicant can be compelled to prove that the outcome will be in his favour or he has to prove a case of substance or if he can prove a real likelihood of success or if he is entitled to relief even if there is some remote chance of success. We may, however, point out that even in cases where the facts are not all admitted or beyond dispute, there is a considerable unanimity that the courts can, in exercise of their discretion, refuse certiorari, prohibition, mandamus or injunction even though natural justice is not followed. We may also state that there is yet another line of cases as in State Bank of Patiala v. S.K. Sharma, Rajendra Singh v. State of M.P. that even in relation to statutory provisions requiring notice, a distinction is to be made between cases where the provision is intended for individual benefit and where a provision is intended to protect public interest. In the former case, it can be waived while in the case of the latter, it cannot be waived."</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33. </w:t>
      </w:r>
      <w:r w:rsidRPr="00AB3FAB">
        <w:rPr>
          <w:rFonts w:ascii="Times New Roman" w:eastAsia="Times New Roman" w:hAnsi="Times New Roman" w:cs="Times New Roman"/>
          <w:color w:val="000000"/>
          <w:sz w:val="25"/>
          <w:szCs w:val="25"/>
        </w:rPr>
        <w:t>In Kendriya Vidyalaya Sangathan (supra), it was held:</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"It is clear that if after the termination of services of the said Dr. K.C. Rakesh, the orders of appointment are issued, such orders are not valid. If such appointment orders are a nullity, the question of observance of principles of natural justice would not arise</w:t>
      </w:r>
      <w:r w:rsidRPr="00AB3FAB">
        <w:rPr>
          <w:rFonts w:ascii="Times New Roman" w:eastAsia="Times New Roman" w:hAnsi="Times New Roman" w:cs="Times New Roman"/>
          <w:i/>
          <w:iCs/>
          <w:color w:val="000000"/>
          <w:sz w:val="25"/>
          <w:szCs w:val="25"/>
        </w:rPr>
        <w:t>"</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t xml:space="preserve">In </w:t>
      </w:r>
      <w:r w:rsidRPr="00AB3FAB">
        <w:rPr>
          <w:rFonts w:ascii="Times New Roman" w:eastAsia="Times New Roman" w:hAnsi="Times New Roman" w:cs="Times New Roman"/>
          <w:i/>
          <w:color w:val="000000"/>
          <w:sz w:val="25"/>
          <w:szCs w:val="25"/>
        </w:rPr>
        <w:t>Bar Council of India v. High Court of Kerala</w:t>
      </w:r>
      <w:r w:rsidR="00AB3FAB" w:rsidRPr="00AB3FAB">
        <w:rPr>
          <w:rFonts w:ascii="Times New Roman" w:eastAsia="Times New Roman" w:hAnsi="Times New Roman" w:cs="Times New Roman"/>
          <w:i/>
          <w:color w:val="000000"/>
          <w:sz w:val="20"/>
          <w:szCs w:val="20"/>
          <w:vertAlign w:val="superscript"/>
        </w:rPr>
        <w:t>9</w:t>
      </w:r>
      <w:r w:rsidRPr="00AB3FAB">
        <w:rPr>
          <w:rFonts w:ascii="Times New Roman" w:eastAsia="Times New Roman" w:hAnsi="Times New Roman" w:cs="Times New Roman"/>
          <w:color w:val="000000"/>
          <w:sz w:val="25"/>
          <w:szCs w:val="25"/>
        </w:rPr>
        <w:t>it was stated:</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"Principles of natural justice, however, cannot be stretched too far. Their application may be subject to the provisions of a statute or statutory rule."</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10. </w:t>
      </w:r>
      <w:r w:rsidRPr="00AB3FAB">
        <w:rPr>
          <w:rFonts w:ascii="Times New Roman" w:eastAsia="Times New Roman" w:hAnsi="Times New Roman" w:cs="Times New Roman"/>
          <w:color w:val="000000"/>
          <w:sz w:val="25"/>
          <w:szCs w:val="25"/>
        </w:rPr>
        <w:t xml:space="preserve">In </w:t>
      </w:r>
      <w:r w:rsidRPr="00AB3FAB">
        <w:rPr>
          <w:rFonts w:ascii="Times New Roman" w:eastAsia="Times New Roman" w:hAnsi="Times New Roman" w:cs="Times New Roman"/>
          <w:i/>
          <w:color w:val="000000"/>
          <w:sz w:val="25"/>
          <w:szCs w:val="25"/>
        </w:rPr>
        <w:t>R.S. Garg v. State of U.P. and Others</w:t>
      </w:r>
      <w:r w:rsidR="00AB3FAB" w:rsidRPr="00AB3FAB">
        <w:rPr>
          <w:rFonts w:ascii="Times New Roman" w:eastAsia="Times New Roman" w:hAnsi="Times New Roman" w:cs="Times New Roman"/>
          <w:i/>
          <w:color w:val="000000"/>
          <w:sz w:val="20"/>
          <w:szCs w:val="20"/>
          <w:vertAlign w:val="superscript"/>
        </w:rPr>
        <w:t>10</w:t>
      </w:r>
      <w:r w:rsidRPr="00AB3FAB">
        <w:rPr>
          <w:rFonts w:ascii="Times New Roman" w:eastAsia="Times New Roman" w:hAnsi="Times New Roman" w:cs="Times New Roman"/>
          <w:i/>
          <w:color w:val="000000"/>
          <w:sz w:val="25"/>
          <w:szCs w:val="25"/>
        </w:rPr>
        <w:t>,</w:t>
      </w:r>
      <w:r w:rsidRPr="00AB3FAB">
        <w:rPr>
          <w:rFonts w:ascii="Times New Roman" w:eastAsia="Times New Roman" w:hAnsi="Times New Roman" w:cs="Times New Roman"/>
          <w:color w:val="000000"/>
          <w:sz w:val="25"/>
          <w:szCs w:val="25"/>
        </w:rPr>
        <w:t xml:space="preserve"> it was stated:</w:t>
      </w:r>
    </w:p>
    <w:p w:rsidR="00657DB9" w:rsidRPr="00AB3FAB" w:rsidRDefault="00657DB9" w:rsidP="00AB3FAB">
      <w:pPr>
        <w:spacing w:after="0" w:line="240" w:lineRule="auto"/>
        <w:ind w:left="720"/>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br/>
      </w:r>
      <w:r w:rsidRPr="00AB3FAB">
        <w:rPr>
          <w:rFonts w:ascii="Times New Roman" w:eastAsia="Times New Roman" w:hAnsi="Times New Roman" w:cs="Times New Roman"/>
          <w:iCs/>
          <w:color w:val="000000"/>
          <w:sz w:val="25"/>
          <w:szCs w:val="25"/>
        </w:rPr>
        <w:t>"A discretionary power as is well known cannot be exercised in an arbitrary manner. It is necessary to emphasize that the State did not proceed on the basis that the amendment to the Rules was not necessary. The action of a statutory authority, as is well known, must be judged on the basis of the norms set up by it and on the basis of the reasons assigned therefor. The same cannot be supplemented by fresh reasons in the shape of affidavit or otherwise."</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i/>
          <w:iCs/>
          <w:color w:val="000000"/>
          <w:sz w:val="25"/>
          <w:szCs w:val="25"/>
        </w:rPr>
        <w:t> </w:t>
      </w:r>
      <w:r w:rsidRPr="00AB3FAB">
        <w:rPr>
          <w:rFonts w:ascii="Times New Roman" w:eastAsia="Times New Roman" w:hAnsi="Times New Roman" w:cs="Times New Roman"/>
          <w:color w:val="000000"/>
          <w:sz w:val="25"/>
          <w:szCs w:val="25"/>
        </w:rPr>
        <w:br/>
      </w:r>
      <w:r w:rsidR="00AB3FAB">
        <w:rPr>
          <w:rFonts w:ascii="Times New Roman" w:eastAsia="Times New Roman" w:hAnsi="Times New Roman" w:cs="Times New Roman"/>
          <w:color w:val="000000"/>
          <w:sz w:val="25"/>
          <w:szCs w:val="25"/>
        </w:rPr>
        <w:t xml:space="preserve">11. </w:t>
      </w:r>
      <w:r w:rsidRPr="00AB3FAB">
        <w:rPr>
          <w:rFonts w:ascii="Times New Roman" w:eastAsia="Times New Roman" w:hAnsi="Times New Roman" w:cs="Times New Roman"/>
          <w:color w:val="000000"/>
          <w:sz w:val="25"/>
          <w:szCs w:val="25"/>
        </w:rPr>
        <w:t>For the reasons aforementioned, the impugned judgments cannot be sustained. They are set aside accordingly. The appeals are allowed. No costs.</w:t>
      </w:r>
    </w:p>
    <w:p w:rsidR="00657DB9" w:rsidRPr="00AB3FAB" w:rsidRDefault="00657DB9" w:rsidP="00AB3FAB">
      <w:pPr>
        <w:spacing w:after="0" w:line="240" w:lineRule="auto"/>
        <w:jc w:val="both"/>
        <w:rPr>
          <w:rFonts w:ascii="Times New Roman" w:eastAsia="Times New Roman" w:hAnsi="Times New Roman" w:cs="Times New Roman"/>
          <w:color w:val="000000"/>
          <w:sz w:val="25"/>
          <w:szCs w:val="25"/>
        </w:rPr>
      </w:pPr>
      <w:r w:rsidRPr="00AB3FAB">
        <w:rPr>
          <w:rFonts w:ascii="Times New Roman" w:eastAsia="Times New Roman" w:hAnsi="Times New Roman" w:cs="Times New Roman"/>
          <w:color w:val="000000"/>
          <w:sz w:val="25"/>
          <w:szCs w:val="25"/>
        </w:rPr>
        <w:t> </w:t>
      </w:r>
    </w:p>
    <w:p w:rsidR="00582A92" w:rsidRDefault="00AB3FAB" w:rsidP="00AB3FA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C40E6" w:rsidRPr="000C40E6" w:rsidRDefault="000C40E6" w:rsidP="00AB3FAB">
      <w:pPr>
        <w:spacing w:after="0" w:line="240" w:lineRule="auto"/>
        <w:jc w:val="both"/>
        <w:rPr>
          <w:rFonts w:ascii="Times New Roman" w:hAnsi="Times New Roman" w:cs="Times New Roman"/>
          <w:sz w:val="20"/>
          <w:szCs w:val="20"/>
        </w:rPr>
      </w:pPr>
    </w:p>
    <w:p w:rsidR="00AB3FAB" w:rsidRPr="000C40E6" w:rsidRDefault="00AB3FAB" w:rsidP="00AB3FAB">
      <w:pPr>
        <w:spacing w:after="0" w:line="240" w:lineRule="auto"/>
        <w:jc w:val="both"/>
        <w:rPr>
          <w:rFonts w:ascii="Times New Roman" w:hAnsi="Times New Roman" w:cs="Times New Roman"/>
          <w:color w:val="000000"/>
          <w:sz w:val="20"/>
          <w:szCs w:val="20"/>
          <w:shd w:val="clear" w:color="auto" w:fill="FFFFFF"/>
          <w:vertAlign w:val="superscript"/>
        </w:rPr>
      </w:pPr>
      <w:r w:rsidRPr="000C40E6">
        <w:rPr>
          <w:rFonts w:ascii="Times New Roman" w:hAnsi="Times New Roman" w:cs="Times New Roman"/>
          <w:sz w:val="20"/>
          <w:szCs w:val="20"/>
          <w:vertAlign w:val="superscript"/>
        </w:rPr>
        <w:t>1</w:t>
      </w:r>
      <w:r w:rsidR="000C40E6">
        <w:rPr>
          <w:rFonts w:ascii="Times New Roman" w:hAnsi="Times New Roman" w:cs="Times New Roman"/>
          <w:color w:val="000000"/>
          <w:sz w:val="20"/>
          <w:szCs w:val="20"/>
          <w:shd w:val="clear" w:color="auto" w:fill="FFFFFF"/>
        </w:rPr>
        <w:t>AIR 1978 SC 0851</w:t>
      </w:r>
    </w:p>
    <w:p w:rsidR="00AB3FAB" w:rsidRPr="000C40E6" w:rsidRDefault="00AB3FAB"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2</w:t>
      </w:r>
      <w:r w:rsidRPr="000C40E6">
        <w:rPr>
          <w:rFonts w:ascii="Times New Roman" w:hAnsi="Times New Roman" w:cs="Times New Roman"/>
          <w:color w:val="000000"/>
          <w:sz w:val="20"/>
          <w:szCs w:val="20"/>
          <w:shd w:val="clear" w:color="auto" w:fill="FFFFFF"/>
        </w:rPr>
        <w:t xml:space="preserve">(2002) 4 SCC </w:t>
      </w:r>
      <w:r w:rsidR="000C40E6">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503</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3</w:t>
      </w:r>
      <w:r w:rsidRPr="000C40E6">
        <w:rPr>
          <w:rFonts w:ascii="Times New Roman" w:hAnsi="Times New Roman" w:cs="Times New Roman"/>
          <w:color w:val="000000"/>
          <w:sz w:val="20"/>
          <w:szCs w:val="20"/>
          <w:shd w:val="clear" w:color="auto" w:fill="FFFFFF"/>
        </w:rPr>
        <w:t xml:space="preserve">AIR 1958 SC </w:t>
      </w:r>
      <w:r>
        <w:rPr>
          <w:rFonts w:ascii="Times New Roman" w:hAnsi="Times New Roman" w:cs="Times New Roman"/>
          <w:color w:val="000000"/>
          <w:sz w:val="20"/>
          <w:szCs w:val="20"/>
          <w:shd w:val="clear" w:color="auto" w:fill="FFFFFF"/>
        </w:rPr>
        <w:t>00</w:t>
      </w:r>
      <w:r w:rsidRPr="000C40E6">
        <w:rPr>
          <w:rFonts w:ascii="Times New Roman" w:hAnsi="Times New Roman" w:cs="Times New Roman"/>
          <w:color w:val="000000"/>
          <w:sz w:val="20"/>
          <w:szCs w:val="20"/>
          <w:shd w:val="clear" w:color="auto" w:fill="FFFFFF"/>
        </w:rPr>
        <w:t>36</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4</w:t>
      </w:r>
      <w:r>
        <w:rPr>
          <w:rFonts w:ascii="Times New Roman" w:hAnsi="Times New Roman" w:cs="Times New Roman"/>
          <w:color w:val="000000"/>
          <w:sz w:val="20"/>
          <w:szCs w:val="20"/>
          <w:shd w:val="clear" w:color="auto" w:fill="FFFFFF"/>
        </w:rPr>
        <w:t>(</w:t>
      </w:r>
      <w:r w:rsidRPr="000C40E6">
        <w:rPr>
          <w:rFonts w:ascii="Times New Roman" w:hAnsi="Times New Roman" w:cs="Times New Roman"/>
          <w:color w:val="000000"/>
          <w:sz w:val="20"/>
          <w:szCs w:val="20"/>
          <w:shd w:val="clear" w:color="auto" w:fill="FFFFFF"/>
        </w:rPr>
        <w:t>1991</w:t>
      </w:r>
      <w:r>
        <w:rPr>
          <w:rFonts w:ascii="Times New Roman" w:hAnsi="Times New Roman" w:cs="Times New Roman"/>
          <w:color w:val="000000"/>
          <w:sz w:val="20"/>
          <w:szCs w:val="20"/>
          <w:shd w:val="clear" w:color="auto" w:fill="FFFFFF"/>
        </w:rPr>
        <w:t>)</w:t>
      </w:r>
      <w:r w:rsidRPr="000C40E6">
        <w:rPr>
          <w:rFonts w:ascii="Times New Roman" w:hAnsi="Times New Roman" w:cs="Times New Roman"/>
          <w:color w:val="000000"/>
          <w:sz w:val="20"/>
          <w:szCs w:val="20"/>
          <w:shd w:val="clear" w:color="auto" w:fill="FFFFFF"/>
        </w:rPr>
        <w:t xml:space="preserve"> Supp (1) SCC 331</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5</w:t>
      </w:r>
      <w:r w:rsidRPr="000C40E6">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(1991) 1 SCC 0212</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6</w:t>
      </w:r>
      <w:r w:rsidRPr="000C40E6">
        <w:rPr>
          <w:rFonts w:ascii="Times New Roman" w:hAnsi="Times New Roman" w:cs="Times New Roman"/>
          <w:color w:val="000000"/>
          <w:sz w:val="20"/>
          <w:szCs w:val="20"/>
          <w:shd w:val="clear" w:color="auto" w:fill="FFFFFF"/>
        </w:rPr>
        <w:t xml:space="preserve"> 1994) 2 SCC </w:t>
      </w:r>
      <w:r>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204</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 xml:space="preserve">7 </w:t>
      </w:r>
      <w:r w:rsidRPr="000C40E6">
        <w:rPr>
          <w:rFonts w:ascii="Times New Roman" w:hAnsi="Times New Roman" w:cs="Times New Roman"/>
          <w:color w:val="000000"/>
          <w:sz w:val="20"/>
          <w:szCs w:val="20"/>
          <w:shd w:val="clear" w:color="auto" w:fill="FFFFFF"/>
        </w:rPr>
        <w:t xml:space="preserve">(1997) 2 SCC </w:t>
      </w:r>
      <w:r>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712</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8</w:t>
      </w:r>
      <w:r w:rsidRPr="000C40E6">
        <w:rPr>
          <w:rFonts w:ascii="Times New Roman" w:hAnsi="Times New Roman" w:cs="Times New Roman"/>
          <w:color w:val="000000"/>
          <w:sz w:val="20"/>
          <w:szCs w:val="20"/>
          <w:shd w:val="clear" w:color="auto" w:fill="FFFFFF"/>
        </w:rPr>
        <w:t xml:space="preserve"> 999) 6 SCC </w:t>
      </w:r>
      <w:r>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237</w:t>
      </w:r>
    </w:p>
    <w:p w:rsidR="000C40E6" w:rsidRPr="000C40E6" w:rsidRDefault="000C40E6" w:rsidP="00AB3FAB">
      <w:pPr>
        <w:spacing w:after="0" w:line="240" w:lineRule="auto"/>
        <w:jc w:val="both"/>
        <w:rPr>
          <w:rFonts w:ascii="Times New Roman" w:hAnsi="Times New Roman" w:cs="Times New Roman"/>
          <w:color w:val="000000"/>
          <w:sz w:val="20"/>
          <w:szCs w:val="20"/>
          <w:shd w:val="clear" w:color="auto" w:fill="FFFFFF"/>
        </w:rPr>
      </w:pPr>
      <w:r w:rsidRPr="000C40E6">
        <w:rPr>
          <w:rFonts w:ascii="Times New Roman" w:hAnsi="Times New Roman" w:cs="Times New Roman"/>
          <w:color w:val="000000"/>
          <w:sz w:val="20"/>
          <w:szCs w:val="20"/>
          <w:shd w:val="clear" w:color="auto" w:fill="FFFFFF"/>
          <w:vertAlign w:val="superscript"/>
        </w:rPr>
        <w:t xml:space="preserve">9 </w:t>
      </w:r>
      <w:r w:rsidRPr="000C40E6">
        <w:rPr>
          <w:rFonts w:ascii="Times New Roman" w:hAnsi="Times New Roman" w:cs="Times New Roman"/>
          <w:color w:val="000000"/>
          <w:sz w:val="20"/>
          <w:szCs w:val="20"/>
          <w:shd w:val="clear" w:color="auto" w:fill="FFFFFF"/>
        </w:rPr>
        <w:t xml:space="preserve">(2004) 6 SCC </w:t>
      </w:r>
      <w:r>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311</w:t>
      </w:r>
    </w:p>
    <w:p w:rsidR="000C40E6" w:rsidRPr="000C40E6" w:rsidRDefault="000C40E6" w:rsidP="00AB3FAB">
      <w:pPr>
        <w:spacing w:after="0" w:line="240" w:lineRule="auto"/>
        <w:jc w:val="both"/>
        <w:rPr>
          <w:rFonts w:ascii="Times New Roman" w:hAnsi="Times New Roman" w:cs="Times New Roman"/>
          <w:sz w:val="20"/>
          <w:szCs w:val="20"/>
        </w:rPr>
      </w:pPr>
      <w:r w:rsidRPr="000C40E6">
        <w:rPr>
          <w:rStyle w:val="apple-converted-space"/>
          <w:rFonts w:ascii="Times New Roman" w:hAnsi="Times New Roman" w:cs="Times New Roman"/>
          <w:color w:val="000000"/>
          <w:sz w:val="20"/>
          <w:szCs w:val="20"/>
          <w:shd w:val="clear" w:color="auto" w:fill="FFFFFF"/>
        </w:rPr>
        <w:t> </w:t>
      </w:r>
      <w:r w:rsidRPr="000C40E6">
        <w:rPr>
          <w:rFonts w:ascii="Times New Roman" w:hAnsi="Times New Roman" w:cs="Times New Roman"/>
          <w:color w:val="000000"/>
          <w:sz w:val="20"/>
          <w:szCs w:val="20"/>
          <w:shd w:val="clear" w:color="auto" w:fill="FFFFFF"/>
          <w:vertAlign w:val="superscript"/>
        </w:rPr>
        <w:t>10</w:t>
      </w:r>
      <w:r w:rsidRPr="000C40E6">
        <w:rPr>
          <w:rFonts w:ascii="Times New Roman" w:hAnsi="Times New Roman" w:cs="Times New Roman"/>
          <w:color w:val="000000"/>
          <w:sz w:val="20"/>
          <w:szCs w:val="20"/>
          <w:shd w:val="clear" w:color="auto" w:fill="FFFFFF"/>
        </w:rPr>
        <w:t xml:space="preserve">(2006) 6 SCC </w:t>
      </w:r>
      <w:r>
        <w:rPr>
          <w:rFonts w:ascii="Times New Roman" w:hAnsi="Times New Roman" w:cs="Times New Roman"/>
          <w:color w:val="000000"/>
          <w:sz w:val="20"/>
          <w:szCs w:val="20"/>
          <w:shd w:val="clear" w:color="auto" w:fill="FFFFFF"/>
        </w:rPr>
        <w:t>0</w:t>
      </w:r>
      <w:r w:rsidRPr="000C40E6">
        <w:rPr>
          <w:rFonts w:ascii="Times New Roman" w:hAnsi="Times New Roman" w:cs="Times New Roman"/>
          <w:color w:val="000000"/>
          <w:sz w:val="20"/>
          <w:szCs w:val="20"/>
          <w:shd w:val="clear" w:color="auto" w:fill="FFFFFF"/>
        </w:rPr>
        <w:t>430</w:t>
      </w:r>
    </w:p>
    <w:sectPr w:rsidR="000C40E6" w:rsidRPr="000C40E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F11" w:rsidRDefault="00033F11" w:rsidP="00425126">
      <w:pPr>
        <w:spacing w:after="0" w:line="240" w:lineRule="auto"/>
      </w:pPr>
      <w:r>
        <w:separator/>
      </w:r>
    </w:p>
  </w:endnote>
  <w:endnote w:type="continuationSeparator" w:id="1">
    <w:p w:rsidR="00033F11" w:rsidRDefault="00033F1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3684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3684A" w:rsidRPr="00425126">
          <w:rPr>
            <w:rFonts w:ascii="Times New Roman" w:hAnsi="Times New Roman" w:cs="Times New Roman"/>
          </w:rPr>
          <w:fldChar w:fldCharType="separate"/>
        </w:r>
        <w:r w:rsidR="00033F11">
          <w:rPr>
            <w:rFonts w:ascii="Times New Roman" w:hAnsi="Times New Roman" w:cs="Times New Roman"/>
            <w:noProof/>
          </w:rPr>
          <w:t>1</w:t>
        </w:r>
        <w:r w:rsidR="0033684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F11" w:rsidRDefault="00033F11" w:rsidP="00425126">
      <w:pPr>
        <w:spacing w:after="0" w:line="240" w:lineRule="auto"/>
      </w:pPr>
      <w:r>
        <w:separator/>
      </w:r>
    </w:p>
  </w:footnote>
  <w:footnote w:type="continuationSeparator" w:id="1">
    <w:p w:rsidR="00033F11" w:rsidRDefault="00033F11"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33F11"/>
    <w:rsid w:val="00045198"/>
    <w:rsid w:val="00047CAD"/>
    <w:rsid w:val="000615E2"/>
    <w:rsid w:val="000C40E6"/>
    <w:rsid w:val="000D1B94"/>
    <w:rsid w:val="000E7626"/>
    <w:rsid w:val="001020DA"/>
    <w:rsid w:val="00177FBA"/>
    <w:rsid w:val="00184BC0"/>
    <w:rsid w:val="001C3421"/>
    <w:rsid w:val="001D5C76"/>
    <w:rsid w:val="00206669"/>
    <w:rsid w:val="00233F29"/>
    <w:rsid w:val="00246779"/>
    <w:rsid w:val="00332008"/>
    <w:rsid w:val="0033684A"/>
    <w:rsid w:val="003C7A6C"/>
    <w:rsid w:val="003D0FE1"/>
    <w:rsid w:val="00413B94"/>
    <w:rsid w:val="00425126"/>
    <w:rsid w:val="00460D3B"/>
    <w:rsid w:val="00537537"/>
    <w:rsid w:val="00566349"/>
    <w:rsid w:val="00572486"/>
    <w:rsid w:val="00582A92"/>
    <w:rsid w:val="005B7C0B"/>
    <w:rsid w:val="005E70F5"/>
    <w:rsid w:val="00602497"/>
    <w:rsid w:val="006319B5"/>
    <w:rsid w:val="006501AA"/>
    <w:rsid w:val="00657DB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AB3FAB"/>
    <w:rsid w:val="00B24714"/>
    <w:rsid w:val="00B95952"/>
    <w:rsid w:val="00BA4863"/>
    <w:rsid w:val="00BA644E"/>
    <w:rsid w:val="00BF054F"/>
    <w:rsid w:val="00CA3B73"/>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3FA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2016-04-20T10:16:00Z</dcterms:created>
  <dcterms:modified xsi:type="dcterms:W3CDTF">2016-04-20T10:16:00Z</dcterms:modified>
</cp:coreProperties>
</file>