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A20" w:rsidRPr="00575A20" w:rsidRDefault="00575A20" w:rsidP="00647EE8">
      <w:pPr>
        <w:spacing w:after="0" w:line="240" w:lineRule="auto"/>
        <w:jc w:val="center"/>
        <w:rPr>
          <w:rFonts w:ascii="Times New Roman" w:eastAsia="Times New Roman" w:hAnsi="Times New Roman" w:cs="Times New Roman"/>
          <w:sz w:val="25"/>
          <w:szCs w:val="25"/>
        </w:rPr>
      </w:pPr>
      <w:r w:rsidRPr="00575A20">
        <w:rPr>
          <w:rFonts w:ascii="Times New Roman" w:eastAsia="Times New Roman" w:hAnsi="Times New Roman" w:cs="Times New Roman"/>
          <w:b/>
          <w:bCs/>
          <w:sz w:val="25"/>
          <w:szCs w:val="25"/>
        </w:rPr>
        <w:t>SUPREME COURT OF INDIA</w:t>
      </w:r>
    </w:p>
    <w:p w:rsidR="00575A20" w:rsidRPr="00575A20" w:rsidRDefault="00575A20" w:rsidP="00647EE8">
      <w:pPr>
        <w:spacing w:after="0" w:line="240" w:lineRule="auto"/>
        <w:jc w:val="center"/>
        <w:rPr>
          <w:rFonts w:ascii="Times New Roman" w:eastAsia="Times New Roman" w:hAnsi="Times New Roman" w:cs="Times New Roman"/>
          <w:sz w:val="25"/>
          <w:szCs w:val="25"/>
        </w:rPr>
      </w:pPr>
    </w:p>
    <w:p w:rsidR="00575A20" w:rsidRPr="00575A20" w:rsidRDefault="00575A20" w:rsidP="00647EE8">
      <w:pPr>
        <w:spacing w:after="0" w:line="240" w:lineRule="auto"/>
        <w:jc w:val="center"/>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Imagic Creative Pvt. Ltd.</w:t>
      </w:r>
    </w:p>
    <w:p w:rsidR="00575A20" w:rsidRPr="00575A20" w:rsidRDefault="00575A20" w:rsidP="00647EE8">
      <w:pPr>
        <w:spacing w:after="0" w:line="240" w:lineRule="auto"/>
        <w:jc w:val="center"/>
        <w:rPr>
          <w:rFonts w:ascii="Times New Roman" w:eastAsia="Times New Roman" w:hAnsi="Times New Roman" w:cs="Times New Roman"/>
          <w:sz w:val="25"/>
          <w:szCs w:val="25"/>
        </w:rPr>
      </w:pPr>
    </w:p>
    <w:p w:rsidR="00575A20" w:rsidRPr="00575A20" w:rsidRDefault="00575A20" w:rsidP="00647EE8">
      <w:pPr>
        <w:spacing w:after="0" w:line="240" w:lineRule="auto"/>
        <w:jc w:val="center"/>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Vs.</w:t>
      </w:r>
    </w:p>
    <w:p w:rsidR="00575A20" w:rsidRPr="00575A20" w:rsidRDefault="00575A20" w:rsidP="00647EE8">
      <w:pPr>
        <w:spacing w:after="0" w:line="240" w:lineRule="auto"/>
        <w:jc w:val="center"/>
        <w:rPr>
          <w:rFonts w:ascii="Times New Roman" w:eastAsia="Times New Roman" w:hAnsi="Times New Roman" w:cs="Times New Roman"/>
          <w:sz w:val="25"/>
          <w:szCs w:val="25"/>
        </w:rPr>
      </w:pPr>
    </w:p>
    <w:p w:rsidR="00575A20" w:rsidRPr="00575A20" w:rsidRDefault="00575A20" w:rsidP="00647EE8">
      <w:pPr>
        <w:spacing w:after="0" w:line="240" w:lineRule="auto"/>
        <w:jc w:val="center"/>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Commissioner of Commercial Taxes</w:t>
      </w:r>
    </w:p>
    <w:p w:rsidR="00575A20" w:rsidRPr="00575A20" w:rsidRDefault="00575A20" w:rsidP="00647EE8">
      <w:pPr>
        <w:spacing w:after="0" w:line="240" w:lineRule="auto"/>
        <w:jc w:val="center"/>
        <w:rPr>
          <w:rFonts w:ascii="Times New Roman" w:eastAsia="Times New Roman" w:hAnsi="Times New Roman" w:cs="Times New Roman"/>
          <w:sz w:val="25"/>
          <w:szCs w:val="25"/>
        </w:rPr>
      </w:pPr>
    </w:p>
    <w:p w:rsidR="00575A20" w:rsidRDefault="00575A20" w:rsidP="00647EE8">
      <w:pPr>
        <w:spacing w:after="0" w:line="240" w:lineRule="auto"/>
        <w:jc w:val="center"/>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C.A.No. 252 of 2008 </w:t>
      </w:r>
    </w:p>
    <w:p w:rsidR="00647EE8" w:rsidRPr="00575A20" w:rsidRDefault="00647EE8" w:rsidP="00647EE8">
      <w:pPr>
        <w:spacing w:after="0" w:line="240" w:lineRule="auto"/>
        <w:jc w:val="center"/>
        <w:rPr>
          <w:rFonts w:ascii="Times New Roman" w:eastAsia="Times New Roman" w:hAnsi="Times New Roman" w:cs="Times New Roman"/>
          <w:sz w:val="25"/>
          <w:szCs w:val="25"/>
        </w:rPr>
      </w:pPr>
    </w:p>
    <w:p w:rsidR="00575A20" w:rsidRPr="00575A20" w:rsidRDefault="00575A20" w:rsidP="00647EE8">
      <w:pPr>
        <w:spacing w:after="0" w:line="240" w:lineRule="auto"/>
        <w:jc w:val="center"/>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(S.B. Sinha </w:t>
      </w:r>
      <w:r w:rsidR="00714890">
        <w:rPr>
          <w:rFonts w:ascii="Times New Roman" w:eastAsia="Times New Roman" w:hAnsi="Times New Roman" w:cs="Times New Roman"/>
          <w:sz w:val="25"/>
          <w:szCs w:val="25"/>
        </w:rPr>
        <w:t>and</w:t>
      </w:r>
      <w:r w:rsidRPr="00575A20">
        <w:rPr>
          <w:rFonts w:ascii="Times New Roman" w:eastAsia="Times New Roman" w:hAnsi="Times New Roman" w:cs="Times New Roman"/>
          <w:sz w:val="25"/>
          <w:szCs w:val="25"/>
        </w:rPr>
        <w:t xml:space="preserve"> Harjit Singh Bedi</w:t>
      </w:r>
      <w:r w:rsidR="00647EE8">
        <w:rPr>
          <w:rFonts w:ascii="Times New Roman" w:eastAsia="Times New Roman" w:hAnsi="Times New Roman" w:cs="Times New Roman"/>
          <w:sz w:val="25"/>
          <w:szCs w:val="25"/>
        </w:rPr>
        <w:t>,JJ.</w:t>
      </w:r>
      <w:r w:rsidRPr="00575A20">
        <w:rPr>
          <w:rFonts w:ascii="Times New Roman" w:eastAsia="Times New Roman" w:hAnsi="Times New Roman" w:cs="Times New Roman"/>
          <w:sz w:val="25"/>
          <w:szCs w:val="25"/>
        </w:rPr>
        <w:t>)</w:t>
      </w:r>
    </w:p>
    <w:p w:rsidR="00575A20" w:rsidRPr="00575A20" w:rsidRDefault="00575A20" w:rsidP="00647EE8">
      <w:pPr>
        <w:spacing w:after="0" w:line="240" w:lineRule="auto"/>
        <w:jc w:val="center"/>
        <w:rPr>
          <w:rFonts w:ascii="Times New Roman" w:eastAsia="Times New Roman" w:hAnsi="Times New Roman" w:cs="Times New Roman"/>
          <w:sz w:val="25"/>
          <w:szCs w:val="25"/>
        </w:rPr>
      </w:pPr>
    </w:p>
    <w:p w:rsidR="00575A20" w:rsidRPr="00575A20" w:rsidRDefault="00647EE8" w:rsidP="00647EE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09.01.</w:t>
      </w:r>
      <w:r w:rsidR="00575A20" w:rsidRPr="00575A20">
        <w:rPr>
          <w:rFonts w:ascii="Times New Roman" w:eastAsia="Times New Roman" w:hAnsi="Times New Roman" w:cs="Times New Roman"/>
          <w:sz w:val="25"/>
          <w:szCs w:val="25"/>
        </w:rPr>
        <w:t>2008</w:t>
      </w:r>
    </w:p>
    <w:p w:rsidR="00575A20" w:rsidRPr="00575A20" w:rsidRDefault="00575A20" w:rsidP="00647EE8">
      <w:pPr>
        <w:spacing w:after="0" w:line="240" w:lineRule="auto"/>
        <w:jc w:val="center"/>
        <w:rPr>
          <w:rFonts w:ascii="Times New Roman" w:eastAsia="Times New Roman" w:hAnsi="Times New Roman" w:cs="Times New Roman"/>
          <w:sz w:val="25"/>
          <w:szCs w:val="25"/>
        </w:rPr>
      </w:pPr>
    </w:p>
    <w:p w:rsidR="00575A20" w:rsidRPr="00575A20" w:rsidRDefault="00575A20" w:rsidP="00647EE8">
      <w:pPr>
        <w:spacing w:after="0" w:line="240" w:lineRule="auto"/>
        <w:jc w:val="center"/>
        <w:rPr>
          <w:rFonts w:ascii="Times New Roman" w:eastAsia="Times New Roman" w:hAnsi="Times New Roman" w:cs="Times New Roman"/>
          <w:sz w:val="25"/>
          <w:szCs w:val="25"/>
        </w:rPr>
      </w:pPr>
      <w:r w:rsidRPr="00575A20">
        <w:rPr>
          <w:rFonts w:ascii="Times New Roman" w:eastAsia="Times New Roman" w:hAnsi="Times New Roman" w:cs="Times New Roman"/>
          <w:b/>
          <w:bCs/>
          <w:sz w:val="25"/>
          <w:szCs w:val="25"/>
        </w:rPr>
        <w:t>JUDGMENT</w:t>
      </w:r>
    </w:p>
    <w:p w:rsidR="00575A20" w:rsidRPr="00575A20" w:rsidRDefault="00575A20" w:rsidP="00647EE8">
      <w:pPr>
        <w:spacing w:after="0" w:line="240" w:lineRule="auto"/>
        <w:jc w:val="center"/>
        <w:rPr>
          <w:rFonts w:ascii="Times New Roman" w:eastAsia="Times New Roman" w:hAnsi="Times New Roman" w:cs="Times New Roman"/>
          <w:sz w:val="25"/>
          <w:szCs w:val="25"/>
        </w:rPr>
      </w:pPr>
    </w:p>
    <w:p w:rsidR="00575A20" w:rsidRPr="00575A20" w:rsidRDefault="00647EE8" w:rsidP="00647EE8">
      <w:pPr>
        <w:spacing w:after="0" w:line="240" w:lineRule="auto"/>
        <w:rPr>
          <w:rFonts w:ascii="Times New Roman" w:eastAsia="Times New Roman" w:hAnsi="Times New Roman" w:cs="Times New Roman"/>
          <w:sz w:val="25"/>
          <w:szCs w:val="25"/>
        </w:rPr>
      </w:pPr>
      <w:r w:rsidRPr="00575A20">
        <w:rPr>
          <w:rFonts w:ascii="Times New Roman" w:eastAsia="Times New Roman" w:hAnsi="Times New Roman" w:cs="Times New Roman"/>
          <w:b/>
          <w:bCs/>
          <w:sz w:val="25"/>
          <w:szCs w:val="25"/>
        </w:rPr>
        <w:t>S.B. Sinha, J.</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Leave granted.</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2. Whether the charges collected towards the services for evolution of  prototype conceptual design (i.e. creation of concept), on which service tax  had been paid under the Finance Act, 1994 as amended from time to time is liable to tax under the Karnataka Value Added Tax Act, 2003 (the Act) is the question involved in this appeal which arises out of a judgment and order dated 29.11.2006 passed by a Division Bench of the Karnataka High Court in STA No.7 of 2006.</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3. Appellant is an advertising agency.  It provides for advertisement services.  It creates original concept and design advertising material for their clients and design brochures, annual reports etc.  The Contract between the appellant and their clients does not appear to have been entered into in writing as no written contract as such has been placed before us.</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4. We may notice a purchase order and the invoice which has been produced before us and the authenticity whereof is not in question</w:t>
      </w:r>
      <w:r>
        <w:rPr>
          <w:rFonts w:ascii="Times New Roman" w:eastAsia="Times New Roman" w:hAnsi="Times New Roman" w:cs="Times New Roman"/>
          <w:sz w:val="25"/>
          <w:szCs w:val="25"/>
        </w:rPr>
        <w:t>:</w:t>
      </w:r>
    </w:p>
    <w:p w:rsidR="00575A20" w:rsidRDefault="00575A20" w:rsidP="00ED074B">
      <w:pPr>
        <w:spacing w:after="0" w:line="240" w:lineRule="auto"/>
        <w:jc w:val="both"/>
        <w:rPr>
          <w:rFonts w:ascii="Times New Roman" w:eastAsia="Times New Roman" w:hAnsi="Times New Roman" w:cs="Times New Roman"/>
          <w:sz w:val="25"/>
          <w:szCs w:val="25"/>
        </w:rPr>
      </w:pP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75A20">
        <w:rPr>
          <w:rFonts w:ascii="Times New Roman" w:eastAsia="Times New Roman" w:hAnsi="Times New Roman" w:cs="Times New Roman"/>
          <w:sz w:val="25"/>
          <w:szCs w:val="25"/>
        </w:rPr>
        <w:t>ESTIMATE</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bl>
      <w:tblPr>
        <w:tblW w:w="10613" w:type="dxa"/>
        <w:tblInd w:w="720" w:type="dxa"/>
        <w:tblCellMar>
          <w:left w:w="0" w:type="dxa"/>
          <w:right w:w="0" w:type="dxa"/>
        </w:tblCellMar>
        <w:tblLook w:val="04A0"/>
      </w:tblPr>
      <w:tblGrid>
        <w:gridCol w:w="520"/>
        <w:gridCol w:w="3289"/>
        <w:gridCol w:w="875"/>
        <w:gridCol w:w="1379"/>
        <w:gridCol w:w="1046"/>
        <w:gridCol w:w="2411"/>
        <w:gridCol w:w="880"/>
        <w:gridCol w:w="213"/>
      </w:tblGrid>
      <w:tr w:rsidR="00647EE8" w:rsidRPr="00575A20" w:rsidTr="0007060D">
        <w:trPr>
          <w:gridAfter w:val="2"/>
          <w:wAfter w:w="1093" w:type="dxa"/>
          <w:trHeight w:val="2065"/>
        </w:trPr>
        <w:tc>
          <w:tcPr>
            <w:tcW w:w="4684" w:type="dxa"/>
            <w:gridSpan w:val="3"/>
            <w:tcBorders>
              <w:top w:val="single" w:sz="4" w:space="0" w:color="auto"/>
              <w:left w:val="single" w:sz="8" w:space="0" w:color="auto"/>
              <w:right w:val="single" w:sz="8" w:space="0" w:color="auto"/>
            </w:tcBorders>
            <w:tcMar>
              <w:top w:w="0" w:type="dxa"/>
              <w:left w:w="108" w:type="dxa"/>
              <w:bottom w:w="0" w:type="dxa"/>
              <w:right w:w="108" w:type="dxa"/>
            </w:tcMar>
            <w:hideMark/>
          </w:tcPr>
          <w:p w:rsidR="00647EE8" w:rsidRPr="00575A20" w:rsidRDefault="00647EE8"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P &amp; PR Unit</w:t>
            </w:r>
          </w:p>
          <w:p w:rsidR="00647EE8"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u w:val="single"/>
              </w:rPr>
              <w:t>M/S</w:t>
            </w:r>
            <w:r w:rsidRPr="00575A20">
              <w:rPr>
                <w:rFonts w:ascii="Times New Roman" w:eastAsia="Times New Roman" w:hAnsi="Times New Roman" w:cs="Times New Roman"/>
                <w:sz w:val="25"/>
                <w:szCs w:val="25"/>
                <w:u w:val="single"/>
              </w:rPr>
              <w:t xml:space="preserve">ISRO HEADQUARTERS                                 </w:t>
            </w:r>
          </w:p>
          <w:p w:rsidR="00647EE8"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u w:val="single"/>
              </w:rPr>
              <w:t xml:space="preserve">AntarikshBhavan,New BEL </w:t>
            </w:r>
            <w:r w:rsidRPr="00575A20">
              <w:rPr>
                <w:rFonts w:ascii="Times New Roman" w:eastAsia="Times New Roman" w:hAnsi="Times New Roman" w:cs="Times New Roman"/>
                <w:sz w:val="25"/>
                <w:szCs w:val="25"/>
                <w:u w:val="single"/>
              </w:rPr>
              <w:t>Road Bangalore </w:t>
            </w:r>
            <w:r w:rsidRPr="00575A20">
              <w:rPr>
                <w:rFonts w:ascii="Times New Roman" w:eastAsia="Times New Roman" w:hAnsi="Times New Roman" w:cs="Times New Roman"/>
                <w:sz w:val="25"/>
                <w:szCs w:val="25"/>
              </w:rPr>
              <w:t>Co-ordinated by : Mr. C.S. Ramachandran</w:t>
            </w:r>
          </w:p>
          <w:p w:rsidR="00647EE8" w:rsidRPr="00575A20" w:rsidRDefault="00647EE8"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4836" w:type="dxa"/>
            <w:gridSpan w:val="3"/>
            <w:tcBorders>
              <w:top w:val="single" w:sz="8" w:space="0" w:color="auto"/>
              <w:left w:val="nil"/>
              <w:right w:val="single" w:sz="8" w:space="0" w:color="auto"/>
            </w:tcBorders>
            <w:tcMar>
              <w:top w:w="0" w:type="dxa"/>
              <w:left w:w="108" w:type="dxa"/>
              <w:bottom w:w="0" w:type="dxa"/>
              <w:right w:w="108" w:type="dxa"/>
            </w:tcMar>
            <w:hideMark/>
          </w:tcPr>
          <w:p w:rsidR="00647EE8" w:rsidRPr="00575A20" w:rsidRDefault="00647EE8"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Estimate No.  014F</w:t>
            </w:r>
          </w:p>
          <w:p w:rsidR="00647EE8" w:rsidRPr="00575A20" w:rsidRDefault="00647EE8"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u w:val="single"/>
              </w:rPr>
              <w:t xml:space="preserve">Date : 26.04.2003                   </w:t>
            </w:r>
          </w:p>
          <w:p w:rsidR="00647EE8" w:rsidRPr="00575A20" w:rsidRDefault="00647EE8"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u w:val="single"/>
              </w:rPr>
              <w:t xml:space="preserve">Job No.: 051/APR/ 03                                 </w:t>
            </w:r>
          </w:p>
          <w:p w:rsidR="00647EE8" w:rsidRPr="00575A20" w:rsidRDefault="00647EE8"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Enquiry No. </w:t>
            </w:r>
          </w:p>
          <w:p w:rsidR="00647EE8" w:rsidRPr="00575A20" w:rsidRDefault="00647EE8"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r>
      <w:tr w:rsidR="00575A20" w:rsidRPr="00575A20" w:rsidTr="00647EE8">
        <w:trPr>
          <w:gridAfter w:val="2"/>
          <w:wAfter w:w="1093" w:type="dxa"/>
        </w:trPr>
        <w:tc>
          <w:tcPr>
            <w:tcW w:w="38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t>Particulars  GSAT 2 POSTER</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Qty.</w:t>
            </w:r>
          </w:p>
        </w:tc>
        <w:tc>
          <w:tcPr>
            <w:tcW w:w="2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u w:val="single"/>
              </w:rPr>
              <w:t>Rate______________</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Rs.            P.</w:t>
            </w: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u w:val="single"/>
              </w:rPr>
              <w:t>Amount___________</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Rs.           P.</w:t>
            </w:r>
          </w:p>
        </w:tc>
      </w:tr>
      <w:tr w:rsidR="00ED074B" w:rsidRPr="00575A20" w:rsidTr="00647EE8">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2.</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3.</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4.</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Conceptualising, Design and Production of Computer Artwork of size A3, front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back</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B/w Line drawings in back page Artwork of size A5</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Digital Inkjet Output on </w:t>
            </w:r>
            <w:r w:rsidR="00647EE8" w:rsidRPr="00575A20">
              <w:rPr>
                <w:rFonts w:ascii="Times New Roman" w:eastAsia="Times New Roman" w:hAnsi="Times New Roman" w:cs="Times New Roman"/>
                <w:sz w:val="25"/>
                <w:szCs w:val="25"/>
              </w:rPr>
              <w:t>Photo glossy</w:t>
            </w:r>
            <w:r w:rsidRPr="00575A20">
              <w:rPr>
                <w:rFonts w:ascii="Times New Roman" w:eastAsia="Times New Roman" w:hAnsi="Times New Roman" w:cs="Times New Roman"/>
                <w:sz w:val="25"/>
                <w:szCs w:val="25"/>
              </w:rPr>
              <w:t xml:space="preserve"> Paper for Layout of size A3 (1.5 sq. ft.) @ Rs. 100/- per. sq. ft. front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back</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Four </w:t>
            </w:r>
            <w:r w:rsidRPr="00575A20">
              <w:rPr>
                <w:rFonts w:ascii="Times New Roman" w:eastAsia="Times New Roman" w:hAnsi="Times New Roman" w:cs="Times New Roman"/>
                <w:sz w:val="25"/>
                <w:szCs w:val="25"/>
              </w:rPr>
              <w:t>Color</w:t>
            </w:r>
            <w:r w:rsidR="00575A20" w:rsidRPr="00575A20">
              <w:rPr>
                <w:rFonts w:ascii="Times New Roman" w:eastAsia="Times New Roman" w:hAnsi="Times New Roman" w:cs="Times New Roman"/>
                <w:sz w:val="25"/>
                <w:szCs w:val="25"/>
              </w:rPr>
              <w:t xml:space="preserve"> Separated Positives Size: A3 @ Rs. 250/- per </w:t>
            </w:r>
            <w:r w:rsidRPr="00575A20">
              <w:rPr>
                <w:rFonts w:ascii="Times New Roman" w:eastAsia="Times New Roman" w:hAnsi="Times New Roman" w:cs="Times New Roman"/>
                <w:sz w:val="25"/>
                <w:szCs w:val="25"/>
              </w:rPr>
              <w:t>color</w:t>
            </w:r>
            <w:r w:rsidR="00575A20" w:rsidRPr="00575A20">
              <w:rPr>
                <w:rFonts w:ascii="Times New Roman" w:eastAsia="Times New Roman" w:hAnsi="Times New Roman" w:cs="Times New Roman"/>
                <w:sz w:val="25"/>
                <w:szCs w:val="25"/>
              </w:rPr>
              <w:t xml:space="preserve"> x 4 Nos. = 1,000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front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back</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5% Service Tax on item 1</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5% KST on item 3</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 Resale Tax on item 4</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No.</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No.</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4 Nos.</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No.</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No.</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1 Set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Set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1,000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1,000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1046"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400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1,000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1,000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150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15</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30</w:t>
            </w:r>
          </w:p>
        </w:tc>
        <w:tc>
          <w:tcPr>
            <w:tcW w:w="10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tc>
      </w:tr>
      <w:tr w:rsidR="00575A20" w:rsidRPr="00575A20" w:rsidTr="00647EE8">
        <w:trPr>
          <w:gridAfter w:val="2"/>
          <w:wAfter w:w="1093" w:type="dxa"/>
        </w:trPr>
        <w:tc>
          <w:tcPr>
            <w:tcW w:w="46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Rupees Five Thousand Eight Hundred Ninety Five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Only</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b/>
                <w:bCs/>
                <w:sz w:val="25"/>
                <w:szCs w:val="25"/>
              </w:rPr>
              <w:t> </w:t>
            </w:r>
          </w:p>
        </w:tc>
        <w:tc>
          <w:tcPr>
            <w:tcW w:w="2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Total   Rs.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5,895              00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r>
      <w:tr w:rsidR="00ED074B" w:rsidRPr="00575A20" w:rsidTr="00647EE8">
        <w:trPr>
          <w:gridAfter w:val="1"/>
          <w:wAfter w:w="213" w:type="dxa"/>
        </w:trPr>
        <w:tc>
          <w:tcPr>
            <w:tcW w:w="520"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3289"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875"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1379"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1046"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2411"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880"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r>
    </w:tbl>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INVOICE</w:t>
      </w:r>
    </w:p>
    <w:tbl>
      <w:tblPr>
        <w:tblpPr w:leftFromText="180" w:rightFromText="180" w:vertAnchor="text"/>
        <w:tblW w:w="9576" w:type="dxa"/>
        <w:tblInd w:w="720" w:type="dxa"/>
        <w:tblCellMar>
          <w:left w:w="0" w:type="dxa"/>
          <w:right w:w="0" w:type="dxa"/>
        </w:tblCellMar>
        <w:tblLook w:val="04A0"/>
      </w:tblPr>
      <w:tblGrid>
        <w:gridCol w:w="4394"/>
        <w:gridCol w:w="3042"/>
        <w:gridCol w:w="2140"/>
      </w:tblGrid>
      <w:tr w:rsidR="00575A20" w:rsidRPr="00575A20" w:rsidTr="00575A20">
        <w:trPr>
          <w:trHeight w:val="645"/>
        </w:trPr>
        <w:tc>
          <w:tcPr>
            <w:tcW w:w="43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Consignee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M/S MORRIS TOOLING PVT. LTD.</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Doddaballapur</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Bangalore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Co-ordinated by Mr. Muniswamy</w:t>
            </w:r>
          </w:p>
        </w:tc>
        <w:tc>
          <w:tcPr>
            <w:tcW w:w="3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Invoice No.</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707</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Dated</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31.01.2004</w:t>
            </w:r>
          </w:p>
        </w:tc>
      </w:tr>
      <w:tr w:rsidR="00575A20" w:rsidRPr="00575A20" w:rsidTr="00575A20">
        <w:trPr>
          <w:trHeight w:val="51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3042"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Delivery Note/Date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531/23.01.04</w:t>
            </w:r>
          </w:p>
        </w:tc>
        <w:tc>
          <w:tcPr>
            <w:tcW w:w="2140" w:type="dxa"/>
            <w:tcBorders>
              <w:top w:val="nil"/>
              <w:left w:val="nil"/>
              <w:bottom w:val="nil"/>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Job No.</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1175/DEC/03</w:t>
            </w:r>
          </w:p>
        </w:tc>
      </w:tr>
      <w:tr w:rsidR="00575A20" w:rsidRPr="00575A20" w:rsidTr="00575A20">
        <w:trPr>
          <w:trHeight w:val="5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3042"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Purchase Order No.</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MTP/PUO/2004/00002</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Dated</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21.01.2004</w:t>
            </w:r>
          </w:p>
        </w:tc>
      </w:tr>
    </w:tbl>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vanish/>
          <w:sz w:val="25"/>
          <w:szCs w:val="25"/>
        </w:rPr>
        <w:t> </w:t>
      </w:r>
    </w:p>
    <w:tbl>
      <w:tblPr>
        <w:tblpPr w:leftFromText="180" w:rightFromText="180" w:vertAnchor="text"/>
        <w:tblW w:w="9576" w:type="dxa"/>
        <w:tblInd w:w="720" w:type="dxa"/>
        <w:tblCellMar>
          <w:left w:w="0" w:type="dxa"/>
          <w:right w:w="0" w:type="dxa"/>
        </w:tblCellMar>
        <w:tblLook w:val="04A0"/>
      </w:tblPr>
      <w:tblGrid>
        <w:gridCol w:w="585"/>
        <w:gridCol w:w="3825"/>
        <w:gridCol w:w="1689"/>
        <w:gridCol w:w="715"/>
        <w:gridCol w:w="861"/>
        <w:gridCol w:w="15"/>
        <w:gridCol w:w="1392"/>
        <w:gridCol w:w="494"/>
      </w:tblGrid>
      <w:tr w:rsidR="00575A20" w:rsidRPr="00575A20" w:rsidTr="00575A20">
        <w:trPr>
          <w:trHeight w:val="345"/>
        </w:trPr>
        <w:tc>
          <w:tcPr>
            <w:tcW w:w="5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Sl.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No.</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t> </w:t>
            </w:r>
          </w:p>
        </w:tc>
        <w:tc>
          <w:tcPr>
            <w:tcW w:w="38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t>Description of Goods</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1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15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Rate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190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Amount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r>
      <w:tr w:rsidR="00575A20" w:rsidRPr="00575A20" w:rsidTr="00575A20">
        <w:trPr>
          <w:trHeight w:val="6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0" w:type="auto"/>
            <w:vMerge/>
            <w:tcBorders>
              <w:top w:val="single" w:sz="8" w:space="0" w:color="auto"/>
              <w:left w:val="nil"/>
              <w:bottom w:val="single" w:sz="8" w:space="0" w:color="auto"/>
              <w:right w:val="single" w:sz="8" w:space="0" w:color="auto"/>
            </w:tcBorders>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168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Quantity</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7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Rs.</w:t>
            </w:r>
          </w:p>
        </w:tc>
        <w:tc>
          <w:tcPr>
            <w:tcW w:w="8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P.</w:t>
            </w:r>
          </w:p>
        </w:tc>
        <w:tc>
          <w:tcPr>
            <w:tcW w:w="140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Rs.</w:t>
            </w:r>
          </w:p>
        </w:tc>
        <w:tc>
          <w:tcPr>
            <w:tcW w:w="4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P.</w:t>
            </w:r>
          </w:p>
        </w:tc>
      </w:tr>
      <w:tr w:rsidR="00575A20" w:rsidRPr="00575A20" w:rsidTr="00575A20">
        <w:trPr>
          <w:trHeight w:val="4595"/>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br w:type="textWrapping" w:clear="all"/>
              <w:t>1.</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2.</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3.</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4.</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HSK TOOL HOLDER</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Designing and System Charges</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Four Colour Separated Positives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for Cover Size: A3</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Two Colour Separated Positives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Size : A4</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Four Colour Offset Printing on 300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GSM Matt Art Card for Cover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Two Colour Offset Printing on 170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GSM Matt Art Paper for Inner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pages with centre pinning</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8% Service Tax on item 1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1.5 % Resale Tax on item 2-4</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Set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21 Set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500 Nos.</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468</w:t>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9,000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1,728</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9,828</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31,850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720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651</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tc>
      </w:tr>
      <w:tr w:rsidR="00575A20" w:rsidRPr="00575A20" w:rsidTr="00575A20">
        <w:tc>
          <w:tcPr>
            <w:tcW w:w="585"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3825"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1689"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715"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861"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15"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1392"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c>
          <w:tcPr>
            <w:tcW w:w="494" w:type="dxa"/>
            <w:vAlign w:val="center"/>
            <w:hideMark/>
          </w:tcPr>
          <w:p w:rsidR="00575A20" w:rsidRPr="00575A20" w:rsidRDefault="00575A20" w:rsidP="00ED074B">
            <w:pPr>
              <w:spacing w:after="0" w:line="240" w:lineRule="auto"/>
              <w:jc w:val="both"/>
              <w:rPr>
                <w:rFonts w:ascii="Times New Roman" w:eastAsia="Times New Roman" w:hAnsi="Times New Roman" w:cs="Times New Roman"/>
                <w:sz w:val="25"/>
                <w:szCs w:val="25"/>
              </w:rPr>
            </w:pPr>
          </w:p>
        </w:tc>
      </w:tr>
    </w:tbl>
    <w:tbl>
      <w:tblPr>
        <w:tblW w:w="9570" w:type="dxa"/>
        <w:tblInd w:w="720" w:type="dxa"/>
        <w:tblCellMar>
          <w:left w:w="0" w:type="dxa"/>
          <w:right w:w="0" w:type="dxa"/>
        </w:tblCellMar>
        <w:tblLook w:val="04A0"/>
      </w:tblPr>
      <w:tblGrid>
        <w:gridCol w:w="9640"/>
      </w:tblGrid>
      <w:tr w:rsidR="00575A20" w:rsidRPr="00575A20" w:rsidTr="00575A20">
        <w:trPr>
          <w:trHeight w:val="128"/>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pPr w:leftFromText="180" w:rightFromText="180" w:vertAnchor="text" w:horzAnchor="margin" w:tblpY="44"/>
              <w:tblW w:w="9404" w:type="dxa"/>
              <w:tblCellMar>
                <w:left w:w="0" w:type="dxa"/>
                <w:right w:w="0" w:type="dxa"/>
              </w:tblCellMar>
              <w:tblLook w:val="04A0"/>
            </w:tblPr>
            <w:tblGrid>
              <w:gridCol w:w="7687"/>
              <w:gridCol w:w="1191"/>
              <w:gridCol w:w="526"/>
            </w:tblGrid>
            <w:tr w:rsidR="00647EE8" w:rsidRPr="00575A20" w:rsidTr="00647EE8">
              <w:tc>
                <w:tcPr>
                  <w:tcW w:w="7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EE8" w:rsidRPr="00575A20" w:rsidRDefault="00647EE8" w:rsidP="00F0666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r w:rsidRPr="00575A20">
                    <w:rPr>
                      <w:rFonts w:ascii="Times New Roman" w:eastAsia="Times New Roman" w:hAnsi="Times New Roman" w:cs="Times New Roman"/>
                      <w:b/>
                      <w:bCs/>
                      <w:sz w:val="25"/>
                      <w:szCs w:val="25"/>
                    </w:rPr>
                    <w:t>TOTAL</w:t>
                  </w:r>
                </w:p>
                <w:p w:rsidR="00647EE8" w:rsidRPr="00575A20" w:rsidRDefault="00647EE8" w:rsidP="00F0666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Rupees Fifty Three Thousand Seven Hundred Seventy Seven Only</w:t>
                  </w:r>
                </w:p>
              </w:tc>
              <w:tc>
                <w:tcPr>
                  <w:tcW w:w="1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7EE8" w:rsidRPr="00575A20" w:rsidRDefault="00647EE8" w:rsidP="00F0666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53,777</w:t>
                  </w:r>
                </w:p>
              </w:tc>
              <w:tc>
                <w:tcPr>
                  <w:tcW w:w="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7EE8" w:rsidRPr="00575A20" w:rsidRDefault="00647EE8" w:rsidP="00F0666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00</w:t>
                  </w:r>
                </w:p>
              </w:tc>
            </w:tr>
          </w:tbl>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tc>
      </w:tr>
    </w:tbl>
    <w:p w:rsidR="00575A20" w:rsidRPr="00575A20" w:rsidRDefault="00575A20" w:rsidP="00ED074B">
      <w:pPr>
        <w:spacing w:after="0" w:line="240" w:lineRule="auto"/>
        <w:jc w:val="both"/>
        <w:rPr>
          <w:rFonts w:ascii="Times New Roman" w:eastAsia="Times New Roman" w:hAnsi="Times New Roman" w:cs="Times New Roman"/>
          <w:sz w:val="25"/>
          <w:szCs w:val="25"/>
        </w:rPr>
      </w:pP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ED074B" w:rsidRDefault="00647EE8" w:rsidP="00647E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75A20" w:rsidRPr="00575A20">
        <w:rPr>
          <w:rFonts w:ascii="Times New Roman" w:eastAsia="Times New Roman" w:hAnsi="Times New Roman" w:cs="Times New Roman"/>
          <w:sz w:val="25"/>
          <w:szCs w:val="25"/>
        </w:rPr>
        <w:t>They filed their returns both under the Finance Act, 1994 as also the Act.  An order of assessment was passed by the Assessing Authority in terms of Section 12 of the Karnataka Sales Tax Act and Rule 3 of the Karnataka Sales Tax Rules, material portion whereof reads as under :</w:t>
      </w:r>
    </w:p>
    <w:p w:rsidR="00ED074B" w:rsidRDefault="00ED074B" w:rsidP="00ED074B">
      <w:pPr>
        <w:spacing w:after="0" w:line="240" w:lineRule="auto"/>
        <w:ind w:left="720"/>
        <w:jc w:val="both"/>
        <w:rPr>
          <w:rFonts w:ascii="Times New Roman" w:eastAsia="Times New Roman" w:hAnsi="Times New Roman" w:cs="Times New Roman"/>
          <w:sz w:val="25"/>
          <w:szCs w:val="25"/>
        </w:rPr>
      </w:pPr>
    </w:p>
    <w:p w:rsidR="00ED074B"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In view of the above discussions, I hereby complete the assessment for the year 2003-2004 under section 12(3) of the KST Act 1957 by confirming the turnovers propo</w:t>
      </w:r>
      <w:r>
        <w:rPr>
          <w:rFonts w:ascii="Times New Roman" w:eastAsia="Times New Roman" w:hAnsi="Times New Roman" w:cs="Times New Roman"/>
          <w:sz w:val="25"/>
          <w:szCs w:val="25"/>
        </w:rPr>
        <w:t>sed in the proposition notice.</w:t>
      </w:r>
    </w:p>
    <w:p w:rsidR="00ED074B" w:rsidRDefault="00ED074B" w:rsidP="00ED074B">
      <w:pPr>
        <w:spacing w:after="0" w:line="240" w:lineRule="auto"/>
        <w:ind w:left="720"/>
        <w:jc w:val="both"/>
        <w:rPr>
          <w:rFonts w:ascii="Times New Roman" w:eastAsia="Times New Roman" w:hAnsi="Times New Roman" w:cs="Times New Roman"/>
          <w:sz w:val="25"/>
          <w:szCs w:val="25"/>
        </w:rPr>
      </w:pPr>
    </w:p>
    <w:p w:rsidR="00575A20" w:rsidRPr="00714890"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Gross turnover</w:t>
      </w:r>
      <w:r w:rsidR="00575A20" w:rsidRPr="00575A20">
        <w:rPr>
          <w:rFonts w:ascii="Times New Roman" w:eastAsia="Times New Roman" w:hAnsi="Times New Roman" w:cs="Times New Roman"/>
          <w:sz w:val="25"/>
          <w:szCs w:val="25"/>
        </w:rPr>
        <w:t xml:space="preserve"> Rs. 1,97,72,296-00</w:t>
      </w:r>
      <w:r>
        <w:rPr>
          <w:rFonts w:ascii="Times New Roman" w:eastAsia="Times New Roman" w:hAnsi="Times New Roman" w:cs="Times New Roman"/>
          <w:sz w:val="25"/>
          <w:szCs w:val="25"/>
        </w:rPr>
        <w:t xml:space="preserve"> </w:t>
      </w:r>
      <w:r w:rsidR="00575A20" w:rsidRPr="00575A20">
        <w:rPr>
          <w:rFonts w:ascii="Times New Roman" w:eastAsia="Times New Roman" w:hAnsi="Times New Roman" w:cs="Times New Roman"/>
          <w:sz w:val="25"/>
          <w:szCs w:val="25"/>
        </w:rPr>
        <w:t>Add. Towards omissions As per. Int. repo</w:t>
      </w:r>
      <w:r>
        <w:rPr>
          <w:rFonts w:ascii="Times New Roman" w:eastAsia="Times New Roman" w:hAnsi="Times New Roman" w:cs="Times New Roman"/>
          <w:sz w:val="25"/>
          <w:szCs w:val="25"/>
        </w:rPr>
        <w:t>rt</w:t>
      </w:r>
      <w:r w:rsidR="00575A20" w:rsidRPr="00575A20">
        <w:rPr>
          <w:rFonts w:ascii="Times New Roman" w:eastAsia="Times New Roman" w:hAnsi="Times New Roman" w:cs="Times New Roman"/>
          <w:sz w:val="25"/>
          <w:szCs w:val="25"/>
        </w:rPr>
        <w:t xml:space="preserve"> </w:t>
      </w:r>
      <w:r w:rsidR="00575A20" w:rsidRPr="00575A20">
        <w:rPr>
          <w:rFonts w:ascii="Times New Roman" w:eastAsia="Times New Roman" w:hAnsi="Times New Roman" w:cs="Times New Roman"/>
          <w:sz w:val="25"/>
          <w:szCs w:val="25"/>
          <w:u w:val="single"/>
        </w:rPr>
        <w:t xml:space="preserve">Rs. </w:t>
      </w:r>
      <w:r w:rsidR="00575A20" w:rsidRPr="00714890">
        <w:rPr>
          <w:rFonts w:ascii="Times New Roman" w:eastAsia="Times New Roman" w:hAnsi="Times New Roman" w:cs="Times New Roman"/>
          <w:sz w:val="25"/>
          <w:szCs w:val="25"/>
        </w:rPr>
        <w:t>6,07,840-00</w:t>
      </w:r>
      <w:r w:rsidRPr="00714890">
        <w:rPr>
          <w:rFonts w:ascii="Times New Roman" w:eastAsia="Times New Roman" w:hAnsi="Times New Roman" w:cs="Times New Roman"/>
          <w:sz w:val="25"/>
          <w:szCs w:val="25"/>
        </w:rPr>
        <w:t xml:space="preserve"> </w:t>
      </w:r>
      <w:r w:rsidR="00575A20" w:rsidRPr="00714890">
        <w:rPr>
          <w:rFonts w:ascii="Times New Roman" w:eastAsia="Times New Roman" w:hAnsi="Times New Roman" w:cs="Times New Roman"/>
          <w:sz w:val="25"/>
          <w:szCs w:val="25"/>
        </w:rPr>
        <w:t>Gross turn</w:t>
      </w:r>
      <w:r w:rsidRPr="00714890">
        <w:rPr>
          <w:rFonts w:ascii="Times New Roman" w:eastAsia="Times New Roman" w:hAnsi="Times New Roman" w:cs="Times New Roman"/>
          <w:sz w:val="25"/>
          <w:szCs w:val="25"/>
        </w:rPr>
        <w:t>over determined </w:t>
      </w:r>
      <w:r w:rsidR="00575A20" w:rsidRPr="00714890">
        <w:rPr>
          <w:rFonts w:ascii="Times New Roman" w:eastAsia="Times New Roman" w:hAnsi="Times New Roman" w:cs="Times New Roman"/>
          <w:sz w:val="25"/>
          <w:szCs w:val="25"/>
        </w:rPr>
        <w:t>Rs. 2,03,80,136-00</w:t>
      </w:r>
      <w:r w:rsidRPr="00714890">
        <w:rPr>
          <w:rFonts w:ascii="Times New Roman" w:eastAsia="Times New Roman" w:hAnsi="Times New Roman" w:cs="Times New Roman"/>
          <w:sz w:val="25"/>
          <w:szCs w:val="25"/>
        </w:rPr>
        <w:t xml:space="preserve"> </w:t>
      </w:r>
      <w:r w:rsidR="00575A20" w:rsidRPr="00714890">
        <w:rPr>
          <w:rFonts w:ascii="Times New Roman" w:eastAsia="Times New Roman" w:hAnsi="Times New Roman" w:cs="Times New Roman"/>
          <w:sz w:val="25"/>
          <w:szCs w:val="25"/>
        </w:rPr>
        <w:t>Less : Exempted turnover</w:t>
      </w:r>
    </w:p>
    <w:p w:rsidR="00ED074B" w:rsidRPr="00575A20" w:rsidRDefault="00ED074B" w:rsidP="00ED074B">
      <w:pPr>
        <w:spacing w:after="0" w:line="240" w:lineRule="auto"/>
        <w:ind w:left="720"/>
        <w:jc w:val="both"/>
        <w:rPr>
          <w:rFonts w:ascii="Times New Roman" w:eastAsia="Times New Roman" w:hAnsi="Times New Roman" w:cs="Times New Roman"/>
          <w:sz w:val="25"/>
          <w:szCs w:val="25"/>
        </w:rPr>
      </w:pPr>
    </w:p>
    <w:p w:rsid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Taxes collected                            Rs. 2,43,848-00</w:t>
      </w:r>
    </w:p>
    <w:p w:rsidR="00ED074B" w:rsidRPr="00575A20" w:rsidRDefault="00ED074B" w:rsidP="00ED074B">
      <w:pPr>
        <w:spacing w:after="0" w:line="240" w:lineRule="auto"/>
        <w:ind w:left="720"/>
        <w:jc w:val="both"/>
        <w:rPr>
          <w:rFonts w:ascii="Times New Roman" w:eastAsia="Times New Roman" w:hAnsi="Times New Roman" w:cs="Times New Roman"/>
          <w:sz w:val="25"/>
          <w:szCs w:val="25"/>
        </w:rPr>
      </w:pPr>
    </w:p>
    <w:p w:rsid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2)  Discount allowed                        Rs.   80,332-00</w:t>
      </w:r>
    </w:p>
    <w:p w:rsidR="00ED074B" w:rsidRPr="00575A20" w:rsidRDefault="00ED074B" w:rsidP="00ED074B">
      <w:pPr>
        <w:spacing w:after="0" w:line="240" w:lineRule="auto"/>
        <w:ind w:left="720"/>
        <w:jc w:val="both"/>
        <w:rPr>
          <w:rFonts w:ascii="Times New Roman" w:eastAsia="Times New Roman" w:hAnsi="Times New Roman" w:cs="Times New Roman"/>
          <w:sz w:val="25"/>
          <w:szCs w:val="25"/>
        </w:rPr>
      </w:pPr>
    </w:p>
    <w:p w:rsid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3</w:t>
      </w:r>
      <w:r w:rsidR="00ED074B">
        <w:rPr>
          <w:rFonts w:ascii="Times New Roman" w:eastAsia="Times New Roman" w:hAnsi="Times New Roman" w:cs="Times New Roman"/>
          <w:sz w:val="25"/>
          <w:szCs w:val="25"/>
        </w:rPr>
        <w:t>)  Service charges, design &amp; </w:t>
      </w:r>
      <w:r w:rsidRPr="00575A20">
        <w:rPr>
          <w:rFonts w:ascii="Times New Roman" w:eastAsia="Times New Roman" w:hAnsi="Times New Roman" w:cs="Times New Roman"/>
          <w:sz w:val="25"/>
          <w:szCs w:val="25"/>
        </w:rPr>
        <w:t>art work charges collected</w:t>
      </w:r>
      <w:r w:rsidR="00ED074B">
        <w:rPr>
          <w:rFonts w:ascii="Times New Roman" w:eastAsia="Times New Roman" w:hAnsi="Times New Roman" w:cs="Times New Roman"/>
          <w:sz w:val="25"/>
          <w:szCs w:val="25"/>
        </w:rPr>
        <w:t xml:space="preserve"> i</w:t>
      </w:r>
      <w:r w:rsidRPr="00575A20">
        <w:rPr>
          <w:rFonts w:ascii="Times New Roman" w:eastAsia="Times New Roman" w:hAnsi="Times New Roman" w:cs="Times New Roman"/>
          <w:sz w:val="25"/>
          <w:szCs w:val="25"/>
        </w:rPr>
        <w:t>n which no transfer of p</w:t>
      </w:r>
      <w:r w:rsidR="00ED074B">
        <w:rPr>
          <w:rFonts w:ascii="Times New Roman" w:eastAsia="Times New Roman" w:hAnsi="Times New Roman" w:cs="Times New Roman"/>
          <w:sz w:val="25"/>
          <w:szCs w:val="25"/>
        </w:rPr>
        <w:t>roperty in goods is involved </w:t>
      </w:r>
      <w:r w:rsidRPr="00575A20">
        <w:rPr>
          <w:rFonts w:ascii="Times New Roman" w:eastAsia="Times New Roman" w:hAnsi="Times New Roman" w:cs="Times New Roman"/>
          <w:sz w:val="25"/>
          <w:szCs w:val="25"/>
        </w:rPr>
        <w:t>Rs. 54</w:t>
      </w:r>
      <w:r w:rsidR="00ED074B" w:rsidRPr="00575A20">
        <w:rPr>
          <w:rFonts w:ascii="Times New Roman" w:eastAsia="Times New Roman" w:hAnsi="Times New Roman" w:cs="Times New Roman"/>
          <w:sz w:val="25"/>
          <w:szCs w:val="25"/>
        </w:rPr>
        <w:t>, 27,260</w:t>
      </w:r>
      <w:r w:rsidRPr="00575A20">
        <w:rPr>
          <w:rFonts w:ascii="Times New Roman" w:eastAsia="Times New Roman" w:hAnsi="Times New Roman" w:cs="Times New Roman"/>
          <w:sz w:val="25"/>
          <w:szCs w:val="25"/>
        </w:rPr>
        <w:t>-00</w:t>
      </w:r>
      <w:r w:rsidR="00ED074B">
        <w:rPr>
          <w:rFonts w:ascii="Times New Roman" w:eastAsia="Times New Roman" w:hAnsi="Times New Roman" w:cs="Times New Roman"/>
          <w:sz w:val="25"/>
          <w:szCs w:val="25"/>
        </w:rPr>
        <w:t>.</w:t>
      </w:r>
    </w:p>
    <w:p w:rsidR="00ED074B" w:rsidRPr="00575A20" w:rsidRDefault="00ED074B" w:rsidP="00ED074B">
      <w:pPr>
        <w:spacing w:after="0" w:line="240" w:lineRule="auto"/>
        <w:ind w:left="720"/>
        <w:jc w:val="both"/>
        <w:rPr>
          <w:rFonts w:ascii="Times New Roman" w:eastAsia="Times New Roman" w:hAnsi="Times New Roman" w:cs="Times New Roman"/>
          <w:sz w:val="25"/>
          <w:szCs w:val="25"/>
        </w:rPr>
      </w:pPr>
    </w:p>
    <w:p w:rsidR="00575A20" w:rsidRPr="00575A20"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 </w:t>
      </w:r>
      <w:r w:rsidRPr="00575A20">
        <w:rPr>
          <w:rFonts w:ascii="Times New Roman" w:eastAsia="Times New Roman" w:hAnsi="Times New Roman" w:cs="Times New Roman"/>
          <w:sz w:val="25"/>
          <w:szCs w:val="25"/>
        </w:rPr>
        <w:t>Advertisement</w:t>
      </w:r>
      <w:r w:rsidR="00575A20" w:rsidRPr="00575A20">
        <w:rPr>
          <w:rFonts w:ascii="Times New Roman" w:eastAsia="Times New Roman" w:hAnsi="Times New Roman" w:cs="Times New Roman"/>
          <w:sz w:val="25"/>
          <w:szCs w:val="25"/>
        </w:rPr>
        <w:t xml:space="preserve"> charges for Newspapers co</w:t>
      </w:r>
      <w:r>
        <w:rPr>
          <w:rFonts w:ascii="Times New Roman" w:eastAsia="Times New Roman" w:hAnsi="Times New Roman" w:cs="Times New Roman"/>
          <w:sz w:val="25"/>
          <w:szCs w:val="25"/>
        </w:rPr>
        <w:t xml:space="preserve">llected </w:t>
      </w:r>
      <w:r w:rsidR="00575A20" w:rsidRPr="00575A20">
        <w:rPr>
          <w:rFonts w:ascii="Times New Roman" w:eastAsia="Times New Roman" w:hAnsi="Times New Roman" w:cs="Times New Roman"/>
          <w:sz w:val="25"/>
          <w:szCs w:val="25"/>
        </w:rPr>
        <w:t>Rs. 80,12,976-00</w:t>
      </w:r>
    </w:p>
    <w:p w:rsid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5)  Sales outside the state  </w:t>
      </w:r>
      <w:r w:rsidRPr="00714890">
        <w:rPr>
          <w:rFonts w:ascii="Times New Roman" w:eastAsia="Times New Roman" w:hAnsi="Times New Roman" w:cs="Times New Roman"/>
          <w:sz w:val="25"/>
          <w:szCs w:val="25"/>
        </w:rPr>
        <w:t>Rs. 62,400-00  Rs. 1,38,26,816-00</w:t>
      </w:r>
      <w:r w:rsidR="00ED074B">
        <w:rPr>
          <w:rFonts w:ascii="Times New Roman" w:eastAsia="Times New Roman" w:hAnsi="Times New Roman" w:cs="Times New Roman"/>
          <w:sz w:val="25"/>
          <w:szCs w:val="25"/>
          <w:u w:val="single"/>
        </w:rPr>
        <w:t xml:space="preserve"> </w:t>
      </w:r>
      <w:r w:rsidRPr="00575A20">
        <w:rPr>
          <w:rFonts w:ascii="Times New Roman" w:eastAsia="Times New Roman" w:hAnsi="Times New Roman" w:cs="Times New Roman"/>
          <w:sz w:val="25"/>
          <w:szCs w:val="25"/>
        </w:rPr>
        <w:t>Tax</w:t>
      </w:r>
      <w:r w:rsidR="00ED074B">
        <w:rPr>
          <w:rFonts w:ascii="Times New Roman" w:eastAsia="Times New Roman" w:hAnsi="Times New Roman" w:cs="Times New Roman"/>
          <w:sz w:val="25"/>
          <w:szCs w:val="25"/>
        </w:rPr>
        <w:t xml:space="preserve">able turnover Rs. </w:t>
      </w:r>
      <w:r w:rsidRPr="00575A20">
        <w:rPr>
          <w:rFonts w:ascii="Times New Roman" w:eastAsia="Times New Roman" w:hAnsi="Times New Roman" w:cs="Times New Roman"/>
          <w:sz w:val="25"/>
          <w:szCs w:val="25"/>
        </w:rPr>
        <w:t>65</w:t>
      </w:r>
      <w:r w:rsidR="00ED074B" w:rsidRPr="00575A20">
        <w:rPr>
          <w:rFonts w:ascii="Times New Roman" w:eastAsia="Times New Roman" w:hAnsi="Times New Roman" w:cs="Times New Roman"/>
          <w:sz w:val="25"/>
          <w:szCs w:val="25"/>
        </w:rPr>
        <w:t>, 53,320</w:t>
      </w:r>
      <w:r w:rsidRPr="00575A20">
        <w:rPr>
          <w:rFonts w:ascii="Times New Roman" w:eastAsia="Times New Roman" w:hAnsi="Times New Roman" w:cs="Times New Roman"/>
          <w:sz w:val="25"/>
          <w:szCs w:val="25"/>
        </w:rPr>
        <w:t>-00</w:t>
      </w:r>
      <w:r w:rsidR="00ED074B">
        <w:rPr>
          <w:rFonts w:ascii="Times New Roman" w:eastAsia="Times New Roman" w:hAnsi="Times New Roman" w:cs="Times New Roman"/>
          <w:sz w:val="25"/>
          <w:szCs w:val="25"/>
        </w:rPr>
        <w:t xml:space="preserve"> </w:t>
      </w:r>
      <w:r w:rsidRPr="00575A20">
        <w:rPr>
          <w:rFonts w:ascii="Times New Roman" w:eastAsia="Times New Roman" w:hAnsi="Times New Roman" w:cs="Times New Roman"/>
          <w:sz w:val="25"/>
          <w:szCs w:val="25"/>
        </w:rPr>
        <w:t>Classification of TTO:</w:t>
      </w:r>
    </w:p>
    <w:p w:rsidR="00ED074B" w:rsidRPr="00575A20" w:rsidRDefault="00ED074B" w:rsidP="00ED074B">
      <w:pPr>
        <w:spacing w:after="0" w:line="240" w:lineRule="auto"/>
        <w:ind w:left="720"/>
        <w:jc w:val="both"/>
        <w:rPr>
          <w:rFonts w:ascii="Times New Roman" w:eastAsia="Times New Roman" w:hAnsi="Times New Roman" w:cs="Times New Roman"/>
          <w:sz w:val="25"/>
          <w:szCs w:val="25"/>
        </w:rPr>
      </w:pPr>
    </w:p>
    <w:p w:rsidR="00575A20" w:rsidRPr="00575A20"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w:t>
      </w:r>
      <w:r w:rsidR="00575A20" w:rsidRPr="00575A20">
        <w:rPr>
          <w:rFonts w:ascii="Times New Roman" w:eastAsia="Times New Roman" w:hAnsi="Times New Roman" w:cs="Times New Roman"/>
          <w:sz w:val="25"/>
          <w:szCs w:val="25"/>
        </w:rPr>
        <w:t>Sale of Computer Printed</w:t>
      </w:r>
      <w:r>
        <w:rPr>
          <w:rFonts w:ascii="Times New Roman" w:eastAsia="Times New Roman" w:hAnsi="Times New Roman" w:cs="Times New Roman"/>
          <w:sz w:val="25"/>
          <w:szCs w:val="25"/>
        </w:rPr>
        <w:t xml:space="preserve"> </w:t>
      </w:r>
      <w:r w:rsidR="00575A20" w:rsidRPr="00575A20">
        <w:rPr>
          <w:rFonts w:ascii="Times New Roman" w:eastAsia="Times New Roman" w:hAnsi="Times New Roman" w:cs="Times New Roman"/>
          <w:sz w:val="25"/>
          <w:szCs w:val="25"/>
        </w:rPr>
        <w:t>materials @ 8% from 1.4.03</w:t>
      </w:r>
      <w:r>
        <w:rPr>
          <w:rFonts w:ascii="Times New Roman" w:eastAsia="Times New Roman" w:hAnsi="Times New Roman" w:cs="Times New Roman"/>
          <w:sz w:val="25"/>
          <w:szCs w:val="25"/>
        </w:rPr>
        <w:t xml:space="preserve"> to 31.5.03, Rs. 4,57,242-00, </w:t>
      </w:r>
      <w:r w:rsidR="00575A20" w:rsidRPr="00575A20">
        <w:rPr>
          <w:rFonts w:ascii="Times New Roman" w:eastAsia="Times New Roman" w:hAnsi="Times New Roman" w:cs="Times New Roman"/>
          <w:sz w:val="25"/>
          <w:szCs w:val="25"/>
        </w:rPr>
        <w:t>Rs. 36,580-00</w:t>
      </w:r>
      <w:r>
        <w:rPr>
          <w:rFonts w:ascii="Times New Roman" w:eastAsia="Times New Roman" w:hAnsi="Times New Roman" w:cs="Times New Roman"/>
          <w:sz w:val="25"/>
          <w:szCs w:val="25"/>
        </w:rPr>
        <w:t>.</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Form </w:t>
      </w:r>
      <w:r w:rsidR="00575A20" w:rsidRPr="00575A20">
        <w:rPr>
          <w:rFonts w:ascii="Times New Roman" w:eastAsia="Times New Roman" w:hAnsi="Times New Roman" w:cs="Times New Roman"/>
          <w:sz w:val="25"/>
          <w:szCs w:val="25"/>
        </w:rPr>
        <w:t>31.3.04 @ 9%         Rs. 16</w:t>
      </w:r>
      <w:r w:rsidRPr="00575A20">
        <w:rPr>
          <w:rFonts w:ascii="Times New Roman" w:eastAsia="Times New Roman" w:hAnsi="Times New Roman" w:cs="Times New Roman"/>
          <w:sz w:val="25"/>
          <w:szCs w:val="25"/>
        </w:rPr>
        <w:t>, 19,122</w:t>
      </w:r>
      <w:r w:rsidR="00575A20" w:rsidRPr="00575A20">
        <w:rPr>
          <w:rFonts w:ascii="Times New Roman" w:eastAsia="Times New Roman" w:hAnsi="Times New Roman" w:cs="Times New Roman"/>
          <w:sz w:val="25"/>
          <w:szCs w:val="25"/>
        </w:rPr>
        <w:t>-00           Rs. 145,721-00</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  </w:t>
      </w:r>
      <w:r w:rsidR="00575A20" w:rsidRPr="00575A20">
        <w:rPr>
          <w:rFonts w:ascii="Times New Roman" w:eastAsia="Times New Roman" w:hAnsi="Times New Roman" w:cs="Times New Roman"/>
          <w:sz w:val="25"/>
          <w:szCs w:val="25"/>
        </w:rPr>
        <w:t>Government Departments</w:t>
      </w:r>
      <w:r>
        <w:rPr>
          <w:rFonts w:ascii="Times New Roman" w:eastAsia="Times New Roman" w:hAnsi="Times New Roman" w:cs="Times New Roman"/>
          <w:sz w:val="25"/>
          <w:szCs w:val="25"/>
        </w:rPr>
        <w:t xml:space="preserve"> </w:t>
      </w:r>
      <w:r w:rsidRPr="00575A20">
        <w:rPr>
          <w:rFonts w:ascii="Times New Roman" w:eastAsia="Times New Roman" w:hAnsi="Times New Roman" w:cs="Times New Roman"/>
          <w:sz w:val="25"/>
          <w:szCs w:val="25"/>
        </w:rPr>
        <w:t>Against</w:t>
      </w:r>
      <w:r w:rsidR="00575A20" w:rsidRPr="00575A2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D forms @ 5% 11,45,034-00 </w:t>
      </w:r>
      <w:r w:rsidR="00575A20" w:rsidRPr="00575A20">
        <w:rPr>
          <w:rFonts w:ascii="Times New Roman" w:eastAsia="Times New Roman" w:hAnsi="Times New Roman" w:cs="Times New Roman"/>
          <w:sz w:val="25"/>
          <w:szCs w:val="25"/>
        </w:rPr>
        <w:t>Rs. 57,252-00</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 </w:t>
      </w:r>
      <w:r w:rsidR="00575A20" w:rsidRPr="00575A20">
        <w:rPr>
          <w:rFonts w:ascii="Times New Roman" w:eastAsia="Times New Roman" w:hAnsi="Times New Roman" w:cs="Times New Roman"/>
          <w:sz w:val="25"/>
          <w:szCs w:val="25"/>
        </w:rPr>
        <w:t xml:space="preserve">Sale of Printed materials </w:t>
      </w:r>
      <w:r>
        <w:rPr>
          <w:rFonts w:ascii="Times New Roman" w:eastAsia="Times New Roman" w:hAnsi="Times New Roman" w:cs="Times New Roman"/>
          <w:sz w:val="25"/>
          <w:szCs w:val="25"/>
        </w:rPr>
        <w:t xml:space="preserve">as II dealer liable for RST </w:t>
      </w:r>
      <w:r w:rsidR="00575A20" w:rsidRPr="00575A20">
        <w:rPr>
          <w:rFonts w:ascii="Times New Roman" w:eastAsia="Times New Roman" w:hAnsi="Times New Roman" w:cs="Times New Roman"/>
          <w:sz w:val="25"/>
          <w:szCs w:val="25"/>
        </w:rPr>
        <w:t>@ 1.5</w:t>
      </w:r>
      <w:r>
        <w:rPr>
          <w:rFonts w:ascii="Times New Roman" w:eastAsia="Times New Roman" w:hAnsi="Times New Roman" w:cs="Times New Roman"/>
          <w:sz w:val="25"/>
          <w:szCs w:val="25"/>
        </w:rPr>
        <w:t xml:space="preserve">% Rs. 33, 31,922-00 Rs. </w:t>
      </w:r>
      <w:r w:rsidR="00575A20" w:rsidRPr="00575A20">
        <w:rPr>
          <w:rFonts w:ascii="Times New Roman" w:eastAsia="Times New Roman" w:hAnsi="Times New Roman" w:cs="Times New Roman"/>
          <w:sz w:val="25"/>
          <w:szCs w:val="25"/>
        </w:rPr>
        <w:t>49,979-00</w:t>
      </w:r>
      <w:r>
        <w:rPr>
          <w:rFonts w:ascii="Times New Roman" w:eastAsia="Times New Roman" w:hAnsi="Times New Roman" w:cs="Times New Roman"/>
          <w:sz w:val="25"/>
          <w:szCs w:val="25"/>
        </w:rPr>
        <w:t>.</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            </w:t>
      </w:r>
    </w:p>
    <w:p w:rsidR="00575A20" w:rsidRPr="00575A20"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75A20" w:rsidRPr="00575A20">
        <w:rPr>
          <w:rFonts w:ascii="Times New Roman" w:eastAsia="Times New Roman" w:hAnsi="Times New Roman" w:cs="Times New Roman"/>
          <w:sz w:val="25"/>
          <w:szCs w:val="25"/>
        </w:rPr>
        <w:t xml:space="preserve">Addl. Tax after 1.6.03 @ </w:t>
      </w:r>
      <w:r>
        <w:rPr>
          <w:rFonts w:ascii="Times New Roman" w:eastAsia="Times New Roman" w:hAnsi="Times New Roman" w:cs="Times New Roman"/>
          <w:sz w:val="25"/>
          <w:szCs w:val="25"/>
        </w:rPr>
        <w:t xml:space="preserve">1% </w:t>
      </w:r>
      <w:r w:rsidR="00575A20" w:rsidRPr="00575A20">
        <w:rPr>
          <w:rFonts w:ascii="Times New Roman" w:eastAsia="Times New Roman" w:hAnsi="Times New Roman" w:cs="Times New Roman"/>
          <w:sz w:val="25"/>
          <w:szCs w:val="25"/>
        </w:rPr>
        <w:t>Rs. 27,642/-</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ED074B"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 </w:t>
      </w:r>
      <w:r w:rsidR="00575A20" w:rsidRPr="00575A20">
        <w:rPr>
          <w:rFonts w:ascii="Times New Roman" w:eastAsia="Times New Roman" w:hAnsi="Times New Roman" w:cs="Times New Roman"/>
          <w:sz w:val="25"/>
          <w:szCs w:val="25"/>
        </w:rPr>
        <w:t>Cess @ 15%</w:t>
      </w:r>
      <w:r>
        <w:rPr>
          <w:rFonts w:ascii="Times New Roman" w:eastAsia="Times New Roman" w:hAnsi="Times New Roman" w:cs="Times New Roman"/>
          <w:sz w:val="25"/>
          <w:szCs w:val="25"/>
        </w:rPr>
        <w:t xml:space="preserve"> on tax after 1.2.04</w:t>
      </w:r>
      <w:r w:rsidR="00575A20" w:rsidRPr="00575A20">
        <w:rPr>
          <w:rFonts w:ascii="Times New Roman" w:eastAsia="Times New Roman" w:hAnsi="Times New Roman" w:cs="Times New Roman"/>
          <w:sz w:val="25"/>
          <w:szCs w:val="25"/>
        </w:rPr>
        <w:t xml:space="preserve"> </w:t>
      </w:r>
      <w:r w:rsidR="00575A20" w:rsidRPr="00714890">
        <w:rPr>
          <w:rFonts w:ascii="Times New Roman" w:eastAsia="Times New Roman" w:hAnsi="Times New Roman" w:cs="Times New Roman"/>
          <w:sz w:val="25"/>
          <w:szCs w:val="25"/>
        </w:rPr>
        <w:t>Rs. 5,850-00</w:t>
      </w:r>
      <w:r>
        <w:rPr>
          <w:rFonts w:ascii="Times New Roman" w:eastAsia="Times New Roman" w:hAnsi="Times New Roman" w:cs="Times New Roman"/>
          <w:sz w:val="25"/>
          <w:szCs w:val="25"/>
        </w:rPr>
        <w:t xml:space="preserve"> Total Tax </w:t>
      </w:r>
      <w:r w:rsidR="00575A20" w:rsidRPr="00575A20">
        <w:rPr>
          <w:rFonts w:ascii="Times New Roman" w:eastAsia="Times New Roman" w:hAnsi="Times New Roman" w:cs="Times New Roman"/>
          <w:sz w:val="25"/>
          <w:szCs w:val="25"/>
        </w:rPr>
        <w:t>3,23,024-00”</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6. After passing of the order of assessment, a raid was conducted.  A criminal proceeding was initiated against the appellant-company.  An application was filed by it before the appropriate authority under Section 60 of the Act for classification and advance rulings.  By reason of the order dated 30</w:t>
      </w:r>
      <w:r>
        <w:rPr>
          <w:rFonts w:ascii="Times New Roman" w:eastAsia="Times New Roman" w:hAnsi="Times New Roman" w:cs="Times New Roman"/>
          <w:sz w:val="25"/>
          <w:szCs w:val="25"/>
        </w:rPr>
        <w:t>th September, 2005, it was held</w:t>
      </w:r>
      <w:r w:rsidRPr="00575A20">
        <w:rPr>
          <w:rFonts w:ascii="Times New Roman" w:eastAsia="Times New Roman" w:hAnsi="Times New Roman" w:cs="Times New Roman"/>
          <w:sz w:val="25"/>
          <w:szCs w:val="25"/>
        </w:rPr>
        <w: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75A20">
        <w:rPr>
          <w:rFonts w:ascii="Times New Roman" w:eastAsia="Times New Roman" w:hAnsi="Times New Roman" w:cs="Times New Roman"/>
          <w:sz w:val="25"/>
          <w:szCs w:val="25"/>
        </w:rPr>
        <w:t>The issue is examined in detail and it is seen that in the sale of the advertisement material, the background activity such as conceptualization is no doubt an idea but creation of advertisement is a comprehensive activity leading to creation of goods in question.  Even when any other goods are produced there is some idea and thought regarding the shape and size etc.  Therefore, to separate design and concept taking the sale value of merely the advertisement material as brochure etc. is improper.</w:t>
      </w:r>
      <w:r>
        <w:rPr>
          <w:rFonts w:ascii="Times New Roman" w:eastAsia="Times New Roman" w:hAnsi="Times New Roman" w:cs="Times New Roman"/>
          <w:sz w:val="25"/>
          <w:szCs w:val="25"/>
        </w:rPr>
        <w:t xml:space="preserve"> </w:t>
      </w:r>
      <w:r w:rsidRPr="00575A20">
        <w:rPr>
          <w:rFonts w:ascii="Times New Roman" w:eastAsia="Times New Roman" w:hAnsi="Times New Roman" w:cs="Times New Roman"/>
          <w:sz w:val="25"/>
          <w:szCs w:val="25"/>
        </w:rPr>
        <w:t>It is further seen that in the bills there is separate charge made as content development concept, design, photography scanning and other charges such as system charges including colour sketch pen or computer used design software etc., Ultimately, the brochures come out.  Considering the entire ambit of activity of the dealer it is seen tht it is a comprehensive contract or supply of printed material developed by the company.  The bills also indicate the entire activity though separated is a comprehensive work.  Such creation of activity tanamounts to making indivisible contract in a divisible contract.  Therefore, this Authority rules that entire sale value including the creation of concept etc. done by the company forms a part of the value of sale of such brochures and liable to tax at 4% on the entire proceeds received including those relating to concept charges, system charges etc.  In short, this Authority rules that the sale of printed material with a background of providing the concept is an indivisible activity liable to tax at 4% as a whole. (Emphasis supplied)</w:t>
      </w:r>
      <w:r>
        <w:rPr>
          <w:rFonts w:ascii="Times New Roman" w:eastAsia="Times New Roman" w:hAnsi="Times New Roman" w:cs="Times New Roman"/>
          <w:sz w:val="25"/>
          <w:szCs w:val="25"/>
        </w:rPr>
        <w: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7. An appeal preferred there</w:t>
      </w:r>
      <w:r w:rsidR="00714890">
        <w:rPr>
          <w:rFonts w:ascii="Times New Roman" w:eastAsia="Times New Roman" w:hAnsi="Times New Roman" w:cs="Times New Roman"/>
          <w:sz w:val="25"/>
          <w:szCs w:val="25"/>
        </w:rPr>
        <w:t xml:space="preserve"> </w:t>
      </w:r>
      <w:r w:rsidRPr="00575A20">
        <w:rPr>
          <w:rFonts w:ascii="Times New Roman" w:eastAsia="Times New Roman" w:hAnsi="Times New Roman" w:cs="Times New Roman"/>
          <w:sz w:val="25"/>
          <w:szCs w:val="25"/>
        </w:rPr>
        <w:t xml:space="preserve">against by the appellant in terms of Section 24(1) of the Kerala Sales Tax Act has been dismissed by a Division Bench of the High Court.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t> </w:t>
      </w:r>
    </w:p>
    <w:p w:rsidR="0063621F"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8. The High Court in its judgment noticed the decisions of this </w:t>
      </w:r>
      <w:r w:rsidRPr="00575A20">
        <w:rPr>
          <w:rFonts w:ascii="Times New Roman" w:eastAsia="Times New Roman" w:hAnsi="Times New Roman" w:cs="Times New Roman"/>
          <w:i/>
          <w:sz w:val="25"/>
          <w:szCs w:val="25"/>
        </w:rPr>
        <w:t>Court in Associated Cement Companies Ltd. v. Commissioner of Customs</w:t>
      </w:r>
      <w:r w:rsidRPr="00575A20">
        <w:rPr>
          <w:rFonts w:ascii="Times New Roman" w:eastAsia="Times New Roman" w:hAnsi="Times New Roman" w:cs="Times New Roman"/>
          <w:i/>
          <w:sz w:val="25"/>
          <w:szCs w:val="25"/>
          <w:vertAlign w:val="superscript"/>
        </w:rPr>
        <w:t>1</w:t>
      </w:r>
      <w:r w:rsidRPr="00575A20">
        <w:rPr>
          <w:rFonts w:ascii="Times New Roman" w:eastAsia="Times New Roman" w:hAnsi="Times New Roman" w:cs="Times New Roman"/>
          <w:i/>
          <w:sz w:val="25"/>
          <w:szCs w:val="25"/>
        </w:rPr>
        <w:t xml:space="preserve"> Tata Consultancy Services v. State of A.P.</w:t>
      </w:r>
      <w:r w:rsidRPr="00575A20">
        <w:rPr>
          <w:rFonts w:ascii="Times New Roman" w:eastAsia="Times New Roman" w:hAnsi="Times New Roman" w:cs="Times New Roman"/>
          <w:i/>
          <w:sz w:val="25"/>
          <w:szCs w:val="25"/>
          <w:vertAlign w:val="superscript"/>
        </w:rPr>
        <w:t xml:space="preserve">2 </w:t>
      </w:r>
      <w:r w:rsidRPr="00575A20">
        <w:rPr>
          <w:rFonts w:ascii="Times New Roman" w:eastAsia="Times New Roman" w:hAnsi="Times New Roman" w:cs="Times New Roman"/>
          <w:i/>
          <w:sz w:val="25"/>
          <w:szCs w:val="25"/>
        </w:rPr>
        <w:t>and Tata Consultancy Services v. Municipal Corpo</w:t>
      </w:r>
      <w:r w:rsidR="0063621F">
        <w:rPr>
          <w:rFonts w:ascii="Times New Roman" w:eastAsia="Times New Roman" w:hAnsi="Times New Roman" w:cs="Times New Roman"/>
          <w:i/>
          <w:sz w:val="25"/>
          <w:szCs w:val="25"/>
        </w:rPr>
        <w:t>ration of Greater Bombay &amp; Anr</w:t>
      </w:r>
      <w:r w:rsidR="0063621F" w:rsidRPr="0063621F">
        <w:rPr>
          <w:rFonts w:ascii="Times New Roman" w:eastAsia="Times New Roman" w:hAnsi="Times New Roman" w:cs="Times New Roman"/>
          <w:i/>
          <w:sz w:val="25"/>
          <w:szCs w:val="25"/>
          <w:vertAlign w:val="superscript"/>
        </w:rPr>
        <w:t>3</w:t>
      </w:r>
      <w:r w:rsidR="0063621F">
        <w:rPr>
          <w:rFonts w:ascii="Times New Roman" w:eastAsia="Times New Roman" w:hAnsi="Times New Roman" w:cs="Times New Roman"/>
          <w:sz w:val="25"/>
          <w:szCs w:val="25"/>
        </w:rPr>
        <w:t xml:space="preserve"> and held:</w:t>
      </w:r>
    </w:p>
    <w:p w:rsidR="0063621F" w:rsidRDefault="0063621F" w:rsidP="00ED074B">
      <w:pPr>
        <w:spacing w:after="0" w:line="240" w:lineRule="auto"/>
        <w:jc w:val="both"/>
        <w:rPr>
          <w:rFonts w:ascii="Times New Roman" w:eastAsia="Times New Roman" w:hAnsi="Times New Roman" w:cs="Times New Roman"/>
          <w:sz w:val="25"/>
          <w:szCs w:val="25"/>
        </w:rPr>
      </w:pPr>
    </w:p>
    <w:p w:rsidR="00575A20" w:rsidRPr="00575A20" w:rsidRDefault="0063621F"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 xml:space="preserve">In the light of the three judgments stated supra, what is clear to us is the services rendered by the appellant is an indivisible activity and liable to levy of tax.  The </w:t>
      </w:r>
      <w:r w:rsidR="00714890" w:rsidRPr="00575A20">
        <w:rPr>
          <w:rFonts w:ascii="Times New Roman" w:eastAsia="Times New Roman" w:hAnsi="Times New Roman" w:cs="Times New Roman"/>
          <w:sz w:val="25"/>
          <w:szCs w:val="25"/>
        </w:rPr>
        <w:t>authority</w:t>
      </w:r>
      <w:r w:rsidR="00575A20" w:rsidRPr="00575A20">
        <w:rPr>
          <w:rFonts w:ascii="Times New Roman" w:eastAsia="Times New Roman" w:hAnsi="Times New Roman" w:cs="Times New Roman"/>
          <w:sz w:val="25"/>
          <w:szCs w:val="25"/>
        </w:rPr>
        <w:t xml:space="preserve"> in Annexure-A after noticing the material facts, has chosen to hold that in the bills there is a separate charge made as content development concept design, photography scanning and other charges such as system charges including colour sketch pen or computer used design software etc.  Ultimately, the brochures come out.  Considering the entire ambit of activity of the dealer, it is seen that it is a comprehensive contract or supply of printed material developed by the company.  The bills also indicate the entire activity </w:t>
      </w:r>
      <w:r w:rsidR="00714890" w:rsidRPr="00575A20">
        <w:rPr>
          <w:rFonts w:ascii="Times New Roman" w:eastAsia="Times New Roman" w:hAnsi="Times New Roman" w:cs="Times New Roman"/>
          <w:sz w:val="25"/>
          <w:szCs w:val="25"/>
        </w:rPr>
        <w:t>tantamount</w:t>
      </w:r>
      <w:r w:rsidR="00575A20" w:rsidRPr="00575A20">
        <w:rPr>
          <w:rFonts w:ascii="Times New Roman" w:eastAsia="Times New Roman" w:hAnsi="Times New Roman" w:cs="Times New Roman"/>
          <w:sz w:val="25"/>
          <w:szCs w:val="25"/>
        </w:rPr>
        <w:t xml:space="preserve"> to making indivisible contract in a divisible contract</w:t>
      </w:r>
      <w:r w:rsidR="00575A20" w:rsidRPr="00575A20">
        <w:rPr>
          <w:rFonts w:ascii="Times New Roman" w:eastAsia="Times New Roman" w:hAnsi="Times New Roman" w:cs="Times New Roman"/>
          <w:sz w:val="25"/>
          <w:szCs w:val="25"/>
        </w:rPr>
        <w:t xml:space="preserve">.  The subsequent rectification application made by the applicant dated 24.12.2005 was not considered by the authority in terms of Annexure-H, after noticing the judgment of the Supreme Court in the case of Associated Cement </w:t>
      </w:r>
      <w:r w:rsidR="00714890" w:rsidRPr="00575A20">
        <w:rPr>
          <w:rFonts w:ascii="Times New Roman" w:eastAsia="Times New Roman" w:hAnsi="Times New Roman" w:cs="Times New Roman"/>
          <w:sz w:val="25"/>
          <w:szCs w:val="25"/>
        </w:rPr>
        <w:t>Companies</w:t>
      </w:r>
      <w:r w:rsidR="00575A20" w:rsidRPr="00575A20">
        <w:rPr>
          <w:rFonts w:ascii="Times New Roman" w:eastAsia="Times New Roman" w:hAnsi="Times New Roman" w:cs="Times New Roman"/>
          <w:sz w:val="25"/>
          <w:szCs w:val="25"/>
        </w:rPr>
        <w:t xml:space="preserve"> Ltd. (Stated supra).  Therefore, it is clear that there is no mistake apparent on the face of the record.  We are in full agreement with the imp</w:t>
      </w:r>
      <w:r>
        <w:rPr>
          <w:rFonts w:ascii="Times New Roman" w:eastAsia="Times New Roman" w:hAnsi="Times New Roman" w:cs="Times New Roman"/>
          <w:sz w:val="25"/>
          <w:szCs w:val="25"/>
        </w:rPr>
        <w:t>ugned orders at Annexure-A &amp; H.”</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9. Mr. Joseph Vellapalli, learned senior counsel appearing for the appellant, would submit that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 the High Court committed a serious error in passing the impugned judgment in so far as in the event the contract is held to be an indivisible one, the service element thereof being subject to service tax, no sales tax could have been levied on the incidental transfer of goods unless such transfer falls within the scope and ambit of one of the provisions contained in sub-clauses (a) to (f) of clause (29A) of Article 366 of the Constitution of India.</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(2) Appellant being an advertising agency, i.e., providing professional services, is not liable to pay Value Added Tax (VAT) upon application of dominion nature test or otherwise.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(3) From the orders of the assessment passed by the Assessing Authority itself, it would appear that a portion of the contract is often out sourced in which event, sale of goods are shown by the appellant as a second sale.</w:t>
      </w:r>
    </w:p>
    <w:p w:rsidR="0063621F" w:rsidRPr="00575A20" w:rsidRDefault="0063621F" w:rsidP="00ED074B">
      <w:pPr>
        <w:spacing w:after="0" w:line="240" w:lineRule="auto"/>
        <w:jc w:val="both"/>
        <w:rPr>
          <w:rFonts w:ascii="Times New Roman" w:eastAsia="Times New Roman" w:hAnsi="Times New Roman" w:cs="Times New Roman"/>
          <w:sz w:val="25"/>
          <w:szCs w:val="25"/>
        </w:rPr>
      </w:pP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(4) On an indivisible contract, in view of the decisions of this </w:t>
      </w:r>
      <w:r w:rsidRPr="00575A20">
        <w:rPr>
          <w:rFonts w:ascii="Times New Roman" w:eastAsia="Times New Roman" w:hAnsi="Times New Roman" w:cs="Times New Roman"/>
          <w:i/>
          <w:sz w:val="25"/>
          <w:szCs w:val="25"/>
        </w:rPr>
        <w:t>Court in The State of Madras v. Gannon</w:t>
      </w:r>
      <w:r w:rsidR="0063621F">
        <w:rPr>
          <w:rFonts w:ascii="Times New Roman" w:eastAsia="Times New Roman" w:hAnsi="Times New Roman" w:cs="Times New Roman"/>
          <w:i/>
          <w:sz w:val="25"/>
          <w:szCs w:val="25"/>
        </w:rPr>
        <w:t xml:space="preserve"> Dunkerley &amp; Co., (Madras) Ltd</w:t>
      </w:r>
      <w:r w:rsidR="0063621F" w:rsidRPr="0063621F">
        <w:rPr>
          <w:rFonts w:ascii="Times New Roman" w:eastAsia="Times New Roman" w:hAnsi="Times New Roman" w:cs="Times New Roman"/>
          <w:i/>
          <w:sz w:val="25"/>
          <w:szCs w:val="25"/>
          <w:vertAlign w:val="superscript"/>
        </w:rPr>
        <w:t>4</w:t>
      </w:r>
      <w:r w:rsidRPr="00575A20">
        <w:rPr>
          <w:rFonts w:ascii="Times New Roman" w:eastAsia="Times New Roman" w:hAnsi="Times New Roman" w:cs="Times New Roman"/>
          <w:i/>
          <w:sz w:val="25"/>
          <w:szCs w:val="25"/>
        </w:rPr>
        <w:t>M/s. Gannon Dunkerley &amp; Co. &amp; O</w:t>
      </w:r>
      <w:r w:rsidR="0063621F">
        <w:rPr>
          <w:rFonts w:ascii="Times New Roman" w:eastAsia="Times New Roman" w:hAnsi="Times New Roman" w:cs="Times New Roman"/>
          <w:i/>
          <w:sz w:val="25"/>
          <w:szCs w:val="25"/>
        </w:rPr>
        <w:t>rs. v. State of Rajasthan &amp; Ors</w:t>
      </w:r>
      <w:r w:rsidR="0063621F" w:rsidRPr="0063621F">
        <w:rPr>
          <w:rFonts w:ascii="Times New Roman" w:eastAsia="Times New Roman" w:hAnsi="Times New Roman" w:cs="Times New Roman"/>
          <w:i/>
          <w:sz w:val="25"/>
          <w:szCs w:val="25"/>
          <w:vertAlign w:val="superscript"/>
        </w:rPr>
        <w:t>5</w:t>
      </w:r>
      <w:r w:rsidRPr="00575A20">
        <w:rPr>
          <w:rFonts w:ascii="Times New Roman" w:eastAsia="Times New Roman" w:hAnsi="Times New Roman" w:cs="Times New Roman"/>
          <w:i/>
          <w:sz w:val="25"/>
          <w:szCs w:val="25"/>
        </w:rPr>
        <w:t xml:space="preserve">  </w:t>
      </w:r>
      <w:r w:rsidRPr="00575A20">
        <w:rPr>
          <w:rFonts w:ascii="Times New Roman" w:eastAsia="Times New Roman" w:hAnsi="Times New Roman" w:cs="Times New Roman"/>
          <w:sz w:val="25"/>
          <w:szCs w:val="25"/>
        </w:rPr>
        <w:t xml:space="preserve">no VAT would be payable.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(5) In any event, advertisement not being goods, they cannot be bought and sold in an open market being customer specific.</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t xml:space="preserve">10. Mr. </w:t>
      </w:r>
      <w:r w:rsidR="00714890" w:rsidRPr="00575A20">
        <w:rPr>
          <w:rFonts w:ascii="Times New Roman" w:eastAsia="Times New Roman" w:hAnsi="Times New Roman" w:cs="Times New Roman"/>
          <w:sz w:val="25"/>
          <w:szCs w:val="25"/>
        </w:rPr>
        <w:t>Hedge</w:t>
      </w:r>
      <w:r w:rsidRPr="00575A20">
        <w:rPr>
          <w:rFonts w:ascii="Times New Roman" w:eastAsia="Times New Roman" w:hAnsi="Times New Roman" w:cs="Times New Roman"/>
          <w:sz w:val="25"/>
          <w:szCs w:val="25"/>
        </w:rPr>
        <w:t xml:space="preserve">, learned counsel appearing on behalf of the respondents-State, on the other hand, submitted that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(i) an entire transaction is a composite whole inasmuch as all what was transferred is the documents containing not only the value of the goods but also the soft skill involved therein; and</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(ii) Taxable value of goods is what the buyer is buying and in view of the fact that when by some creativity the value of the goods is enhanced, the entire value has rightly been held to be taxable.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Strong reliance in this connection has been placed on Associated Cement Company (supra) as also the Constitution Bench decision of this </w:t>
      </w:r>
      <w:r w:rsidRPr="00575A20">
        <w:rPr>
          <w:rFonts w:ascii="Times New Roman" w:eastAsia="Times New Roman" w:hAnsi="Times New Roman" w:cs="Times New Roman"/>
          <w:i/>
          <w:sz w:val="25"/>
          <w:szCs w:val="25"/>
        </w:rPr>
        <w:t xml:space="preserve">Court in Tata </w:t>
      </w:r>
      <w:r w:rsidR="00714890" w:rsidRPr="00575A20">
        <w:rPr>
          <w:rFonts w:ascii="Times New Roman" w:eastAsia="Times New Roman" w:hAnsi="Times New Roman" w:cs="Times New Roman"/>
          <w:i/>
          <w:sz w:val="25"/>
          <w:szCs w:val="25"/>
        </w:rPr>
        <w:t>Consultancy</w:t>
      </w:r>
      <w:r w:rsidRPr="00575A20">
        <w:rPr>
          <w:rFonts w:ascii="Times New Roman" w:eastAsia="Times New Roman" w:hAnsi="Times New Roman" w:cs="Times New Roman"/>
          <w:i/>
          <w:sz w:val="25"/>
          <w:szCs w:val="25"/>
        </w:rPr>
        <w:t xml:space="preserve"> and Bharat Sanchar Nigam Ltd. v. Union of India</w:t>
      </w:r>
      <w:r w:rsidR="0063621F" w:rsidRPr="0063621F">
        <w:rPr>
          <w:rFonts w:ascii="Times New Roman" w:eastAsia="Times New Roman" w:hAnsi="Times New Roman" w:cs="Times New Roman"/>
          <w:i/>
          <w:sz w:val="25"/>
          <w:szCs w:val="25"/>
          <w:vertAlign w:val="superscript"/>
        </w:rPr>
        <w:t>6</w:t>
      </w:r>
      <w:r w:rsidRPr="00575A20">
        <w:rPr>
          <w:rFonts w:ascii="Times New Roman" w:eastAsia="Times New Roman" w:hAnsi="Times New Roman" w:cs="Times New Roman"/>
          <w:i/>
          <w:sz w:val="25"/>
          <w:szCs w:val="25"/>
          <w:vertAlign w:val="superscript"/>
        </w:rPr>
        <w:t xml:space="preserv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11. At the outset, we must express our reservation in regard to the question as to whether the appellant having already undergone the process of regular assessment before the assessing authority, an application under Section 60 of the Karnataka Value Added Tax Act, 2003 was maintainable.  The purpose for which such a proceeding is taken recourse to is well known.  When a decision of a competent authority is not known and an entrepreneur intends to know as to what would be his liability under the taxing statute, such a proceeding is ordinarily taken recourse to.  But it is not necessary for us to consider the matter any further.</w:t>
      </w:r>
      <w:r w:rsidR="0063621F">
        <w:rPr>
          <w:rFonts w:ascii="Times New Roman" w:eastAsia="Times New Roman" w:hAnsi="Times New Roman" w:cs="Times New Roman"/>
          <w:sz w:val="25"/>
          <w:szCs w:val="25"/>
        </w:rPr>
        <w:t xml:space="preserve"> </w:t>
      </w:r>
      <w:r w:rsidRPr="00575A20">
        <w:rPr>
          <w:rFonts w:ascii="Times New Roman" w:eastAsia="Times New Roman" w:hAnsi="Times New Roman" w:cs="Times New Roman"/>
          <w:sz w:val="25"/>
          <w:szCs w:val="25"/>
        </w:rPr>
        <w:t>In this case, the order of assessment was complete.  The State did not prefer any appeal there</w:t>
      </w:r>
      <w:r w:rsidR="0063621F">
        <w:rPr>
          <w:rFonts w:ascii="Times New Roman" w:eastAsia="Times New Roman" w:hAnsi="Times New Roman" w:cs="Times New Roman"/>
          <w:sz w:val="25"/>
          <w:szCs w:val="25"/>
        </w:rPr>
        <w:t xml:space="preserve"> </w:t>
      </w:r>
      <w:r w:rsidRPr="00575A20">
        <w:rPr>
          <w:rFonts w:ascii="Times New Roman" w:eastAsia="Times New Roman" w:hAnsi="Times New Roman" w:cs="Times New Roman"/>
          <w:sz w:val="25"/>
          <w:szCs w:val="25"/>
        </w:rPr>
        <w:t xml:space="preserve">against. The process of accounting or the methodology adopted by the </w:t>
      </w:r>
      <w:r w:rsidR="00714890" w:rsidRPr="00575A20">
        <w:rPr>
          <w:rFonts w:ascii="Times New Roman" w:eastAsia="Times New Roman" w:hAnsi="Times New Roman" w:cs="Times New Roman"/>
          <w:sz w:val="25"/>
          <w:szCs w:val="25"/>
        </w:rPr>
        <w:t>assesses</w:t>
      </w:r>
      <w:r w:rsidRPr="00575A20">
        <w:rPr>
          <w:rFonts w:ascii="Times New Roman" w:eastAsia="Times New Roman" w:hAnsi="Times New Roman" w:cs="Times New Roman"/>
          <w:sz w:val="25"/>
          <w:szCs w:val="25"/>
        </w:rPr>
        <w:t xml:space="preserve"> for the purpose of payment of both service tax as also the value added tax attained finality at least for that year.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12. Be that as it may, as the order of the competent authority under Section 60 of the Act would be binding on the assessing authority, in future also, we may examine the merit of the matter.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13. The fact that the appellant is a service provider is not in dispute.  It is also not in dispute that the orders received by it to provide such services is party specific and issue specific; be it for issuance of a brochure or a year book or for any other purpose.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Appellant, in their returns, made three categorical divisions in regard to its tax liabilities (1) The amount of service tax on the specific design and production; (2) The amount of Kerala Sales Tax on the specified item on the first sale; and (3) when certain items are outsourced, the tax payable on resale of the said goods in terms of Section 6(4) of the Kerala Sales Tax Act.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14. The Tribunal as also the High Court opined that the contract was an indivisible one.  The effect of such</w:t>
      </w:r>
      <w:r w:rsidR="00714890">
        <w:rPr>
          <w:rFonts w:ascii="Times New Roman" w:eastAsia="Times New Roman" w:hAnsi="Times New Roman" w:cs="Times New Roman"/>
          <w:sz w:val="25"/>
          <w:szCs w:val="25"/>
        </w:rPr>
        <w:t xml:space="preserve"> an indivisible contract, vis-</w:t>
      </w:r>
      <w:r w:rsidRPr="00575A20">
        <w:rPr>
          <w:rFonts w:ascii="Times New Roman" w:eastAsia="Times New Roman" w:hAnsi="Times New Roman" w:cs="Times New Roman"/>
          <w:sz w:val="25"/>
          <w:szCs w:val="25"/>
        </w:rPr>
        <w:t xml:space="preserve">vis work contract came up for consideration before this Court in The </w:t>
      </w:r>
      <w:r w:rsidRPr="00575A20">
        <w:rPr>
          <w:rFonts w:ascii="Times New Roman" w:eastAsia="Times New Roman" w:hAnsi="Times New Roman" w:cs="Times New Roman"/>
          <w:i/>
          <w:sz w:val="25"/>
          <w:szCs w:val="25"/>
        </w:rPr>
        <w:t>State of Madras v. Ganno</w:t>
      </w:r>
      <w:r w:rsidR="0063621F">
        <w:rPr>
          <w:rFonts w:ascii="Times New Roman" w:eastAsia="Times New Roman" w:hAnsi="Times New Roman" w:cs="Times New Roman"/>
          <w:i/>
          <w:sz w:val="25"/>
          <w:szCs w:val="25"/>
        </w:rPr>
        <w:t>n Dunkerley &amp; Co., (Madras) Ltd</w:t>
      </w:r>
      <w:r w:rsidR="0063621F" w:rsidRPr="0063621F">
        <w:rPr>
          <w:rFonts w:ascii="Times New Roman" w:eastAsia="Times New Roman" w:hAnsi="Times New Roman" w:cs="Times New Roman"/>
          <w:i/>
          <w:sz w:val="25"/>
          <w:szCs w:val="25"/>
          <w:vertAlign w:val="superscript"/>
        </w:rPr>
        <w:t>7</w:t>
      </w:r>
      <w:r w:rsidRPr="00575A20">
        <w:rPr>
          <w:rFonts w:ascii="Times New Roman" w:eastAsia="Times New Roman" w:hAnsi="Times New Roman" w:cs="Times New Roman"/>
          <w:i/>
          <w:sz w:val="25"/>
          <w:szCs w:val="25"/>
        </w:rPr>
        <w:t xml:space="preserve"> </w:t>
      </w:r>
      <w:r w:rsidRPr="00575A20">
        <w:rPr>
          <w:rFonts w:ascii="Times New Roman" w:eastAsia="Times New Roman" w:hAnsi="Times New Roman" w:cs="Times New Roman"/>
          <w:sz w:val="25"/>
          <w:szCs w:val="25"/>
        </w:rPr>
        <w:t>wherein it was clearly held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t> </w:t>
      </w:r>
    </w:p>
    <w:p w:rsidR="00575A20" w:rsidRPr="00575A20" w:rsidRDefault="0063621F"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 xml:space="preserve">To avoid misconception, it must be stated that the above conclusion has reference to works contracts, which are entire and indivisible, as the contracts of the respondents have been held by the learned Judges of the Court below to be.  The several forms which such kinds of contracts can assume are set out in Hudson on Building Contracts, at p.165.  It is possible that the parties might enter into distinct and for money </w:t>
      </w:r>
      <w:r w:rsidRPr="00575A20">
        <w:rPr>
          <w:rFonts w:ascii="Times New Roman" w:eastAsia="Times New Roman" w:hAnsi="Times New Roman" w:cs="Times New Roman"/>
          <w:sz w:val="25"/>
          <w:szCs w:val="25"/>
        </w:rPr>
        <w:t>consideration</w:t>
      </w:r>
      <w:r w:rsidR="00575A20" w:rsidRPr="00575A20">
        <w:rPr>
          <w:rFonts w:ascii="Times New Roman" w:eastAsia="Times New Roman" w:hAnsi="Times New Roman" w:cs="Times New Roman"/>
          <w:sz w:val="25"/>
          <w:szCs w:val="25"/>
        </w:rPr>
        <w:t xml:space="preserve"> and the other for payment of remuneration </w:t>
      </w:r>
      <w:r>
        <w:rPr>
          <w:rFonts w:ascii="Times New Roman" w:eastAsia="Times New Roman" w:hAnsi="Times New Roman" w:cs="Times New Roman"/>
          <w:sz w:val="25"/>
          <w:szCs w:val="25"/>
        </w:rPr>
        <w:t>for services and for work done.”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15. The Parliament amended the Constitution to insert clause 29-A in Article 366 of the Constitution of India, Sub-claus</w:t>
      </w:r>
      <w:r w:rsidR="0063621F">
        <w:rPr>
          <w:rFonts w:ascii="Times New Roman" w:eastAsia="Times New Roman" w:hAnsi="Times New Roman" w:cs="Times New Roman"/>
          <w:sz w:val="25"/>
          <w:szCs w:val="25"/>
        </w:rPr>
        <w:t>es (a) to (f) whereof read thus</w:t>
      </w:r>
      <w:r w:rsidRPr="00575A20">
        <w:rPr>
          <w:rFonts w:ascii="Times New Roman" w:eastAsia="Times New Roman" w:hAnsi="Times New Roman" w:cs="Times New Roman"/>
          <w:sz w:val="25"/>
          <w:szCs w:val="25"/>
        </w:rPr>
        <w:t>:</w:t>
      </w:r>
    </w:p>
    <w:p w:rsidR="0063621F" w:rsidRPr="00575A20" w:rsidRDefault="0063621F" w:rsidP="00ED074B">
      <w:pPr>
        <w:spacing w:after="0" w:line="240" w:lineRule="auto"/>
        <w:jc w:val="both"/>
        <w:rPr>
          <w:rFonts w:ascii="Times New Roman" w:eastAsia="Times New Roman" w:hAnsi="Times New Roman" w:cs="Times New Roman"/>
          <w:sz w:val="25"/>
          <w:szCs w:val="25"/>
        </w:rPr>
      </w:pPr>
    </w:p>
    <w:p w:rsidR="00575A20" w:rsidRPr="00575A20" w:rsidRDefault="0063621F"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(29A) "tax on the sale or purchase of goods" includes</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(a) a tax on the transfer, otherwise than in pursuance of a contract, of property in any goods for cash, deferred payment or other valuable consideration;</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(b) a tax on the transfer of property in goods (whether as goods or in some other form) involved in the execution of a works contract;</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(c) a tax on the delivery of goods on hire-purchase or any system of payment by installments;</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(d) a tax on the transfer of the right to use any goods for any purpose (whether or not for a specified period) for cash, deferred payment or other valuable consideration;</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(e) a tax on the supply of goods by any unincorporated association or body of persons to a member thereof for cash, deferred payment or other valuable consideration;</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ind w:left="720"/>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(f) a tax on the supply, by way of or as part of any service or in any other manner whatsoever, of goods, being food or any other article for human consumption or any drink (whether or not intoxicating), where such supply or service, is for cash, deferred payment or other valuable consideration, and such transfer, delivery or supply of any goods shall be deemed to be a sale of those goods by the person making the transfer, delivery or supply and a purchase of those goods by the person to whom such transf</w:t>
      </w:r>
      <w:r w:rsidR="0063621F">
        <w:rPr>
          <w:rFonts w:ascii="Times New Roman" w:eastAsia="Times New Roman" w:hAnsi="Times New Roman" w:cs="Times New Roman"/>
          <w:sz w:val="25"/>
          <w:szCs w:val="25"/>
        </w:rPr>
        <w:t>er, delivery or supply is made.”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16. By reason of the said provision, therefore, a legal fiction was created so as to make the supply of goods involved in a works contract, subject to tax.  A transaction of the present description was not contemplated. The question came for </w:t>
      </w:r>
      <w:r w:rsidR="0063621F">
        <w:rPr>
          <w:rFonts w:ascii="Times New Roman" w:eastAsia="Times New Roman" w:hAnsi="Times New Roman" w:cs="Times New Roman"/>
          <w:sz w:val="25"/>
          <w:szCs w:val="25"/>
        </w:rPr>
        <w:t xml:space="preserve">consideration again in </w:t>
      </w:r>
      <w:r w:rsidR="0063621F" w:rsidRPr="0063621F">
        <w:rPr>
          <w:rFonts w:ascii="Times New Roman" w:eastAsia="Times New Roman" w:hAnsi="Times New Roman" w:cs="Times New Roman"/>
          <w:i/>
          <w:sz w:val="25"/>
          <w:szCs w:val="25"/>
        </w:rPr>
        <w:t>Builders</w:t>
      </w:r>
      <w:r w:rsidRPr="00575A20">
        <w:rPr>
          <w:rFonts w:ascii="Times New Roman" w:eastAsia="Times New Roman" w:hAnsi="Times New Roman" w:cs="Times New Roman"/>
          <w:i/>
          <w:sz w:val="25"/>
          <w:szCs w:val="25"/>
        </w:rPr>
        <w:t xml:space="preserve"> Association of India &amp; Ors. v. Union of India &amp; Ors. [(1989) 2 SCC 645] and M/s.Gannon Dunkerley &amp; Co. &amp; O</w:t>
      </w:r>
      <w:r w:rsidR="0063621F">
        <w:rPr>
          <w:rFonts w:ascii="Times New Roman" w:eastAsia="Times New Roman" w:hAnsi="Times New Roman" w:cs="Times New Roman"/>
          <w:i/>
          <w:sz w:val="25"/>
          <w:szCs w:val="25"/>
        </w:rPr>
        <w:t>rs. v. State of Rajasthan &amp; Ors</w:t>
      </w:r>
      <w:r w:rsidR="0063621F" w:rsidRPr="0063621F">
        <w:rPr>
          <w:rFonts w:ascii="Times New Roman" w:eastAsia="Times New Roman" w:hAnsi="Times New Roman" w:cs="Times New Roman"/>
          <w:i/>
          <w:sz w:val="25"/>
          <w:szCs w:val="25"/>
          <w:vertAlign w:val="superscript"/>
        </w:rPr>
        <w:t>8</w:t>
      </w:r>
      <w:r w:rsidRPr="00575A20">
        <w:rPr>
          <w:rFonts w:ascii="Times New Roman" w:eastAsia="Times New Roman" w:hAnsi="Times New Roman" w:cs="Times New Roman"/>
          <w:i/>
          <w:sz w:val="25"/>
          <w:szCs w:val="25"/>
        </w:rPr>
        <w:t xml:space="preserve"> </w:t>
      </w:r>
      <w:r w:rsidR="0063621F">
        <w:rPr>
          <w:rFonts w:ascii="Times New Roman" w:eastAsia="Times New Roman" w:hAnsi="Times New Roman" w:cs="Times New Roman"/>
          <w:i/>
          <w:sz w:val="25"/>
          <w:szCs w:val="25"/>
        </w:rPr>
        <w:t>.</w:t>
      </w:r>
      <w:r w:rsidRPr="00575A20">
        <w:rPr>
          <w:rFonts w:ascii="Times New Roman" w:eastAsia="Times New Roman" w:hAnsi="Times New Roman" w:cs="Times New Roman"/>
          <w:sz w:val="25"/>
          <w:szCs w:val="25"/>
        </w:rPr>
        <w:t xml:space="preserve">It has expressly been laid down therein that the effect of amendment by introduction of clause 29A in Article 366 is that by legal fiction, certain indivisible contracts are deemed to be divisible into contract of sale of goods and contract of service.  In Gannon Dunkerley case (supra), it had been held: </w:t>
      </w:r>
      <w:r w:rsidRPr="00575A20">
        <w:rPr>
          <w:rFonts w:ascii="Times New Roman" w:eastAsia="Times New Roman" w:hAnsi="Times New Roman" w:cs="Times New Roman"/>
          <w:sz w:val="25"/>
          <w:szCs w:val="25"/>
        </w:rPr>
        <w:lastRenderedPageBreak/>
        <w:t>Keeping in view the legal fiction introduced by the Forty-sixth Amendment whereby the works contract which was entire and indivisible has been altered into a contract which is divisible into one for sale of goods and other for supply of labour and services, the value of the goods involved in the execution of a works contract on which tax is leviable must exclude the charges which appertain to the contract for supply of labour and services.</w:t>
      </w:r>
      <w:r w:rsidRPr="00575A20">
        <w:rPr>
          <w:rFonts w:ascii="Times New Roman" w:eastAsia="Times New Roman" w:hAnsi="Times New Roman" w:cs="Times New Roman"/>
          <w:sz w:val="25"/>
          <w:szCs w:val="25"/>
        </w:rPr>
        <w:t/>
      </w:r>
    </w:p>
    <w:p w:rsidR="00575A20" w:rsidRPr="00575A20" w:rsidRDefault="00575A20" w:rsidP="00ED074B">
      <w:pPr>
        <w:spacing w:after="0" w:line="240" w:lineRule="auto"/>
        <w:jc w:val="both"/>
        <w:rPr>
          <w:rFonts w:ascii="Times New Roman" w:eastAsia="Times New Roman" w:hAnsi="Times New Roman" w:cs="Times New Roman"/>
          <w:sz w:val="25"/>
          <w:szCs w:val="25"/>
        </w:rPr>
      </w:pP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17. We may also notice that a Constitution Bench of this Court in Tata Consultancy Services (supra), opined that having regard to the definition of the term goods</w:t>
      </w:r>
      <w:r w:rsidRPr="00575A20">
        <w:rPr>
          <w:rFonts w:ascii="Times New Roman" w:eastAsia="Times New Roman" w:hAnsi="Times New Roman" w:cs="Times New Roman"/>
          <w:sz w:val="25"/>
          <w:szCs w:val="25"/>
        </w:rPr>
        <w:t xml:space="preserve"> contained in clause (12) of Article 366 of the Constitution of India, a software </w:t>
      </w:r>
      <w:r w:rsidR="00714890" w:rsidRPr="00575A20">
        <w:rPr>
          <w:rFonts w:ascii="Times New Roman" w:eastAsia="Times New Roman" w:hAnsi="Times New Roman" w:cs="Times New Roman"/>
          <w:sz w:val="25"/>
          <w:szCs w:val="25"/>
        </w:rPr>
        <w:t>programmers</w:t>
      </w:r>
      <w:r w:rsidRPr="00575A20">
        <w:rPr>
          <w:rFonts w:ascii="Times New Roman" w:eastAsia="Times New Roman" w:hAnsi="Times New Roman" w:cs="Times New Roman"/>
          <w:sz w:val="25"/>
          <w:szCs w:val="25"/>
        </w:rPr>
        <w:t xml:space="preserve"> may consist of various commands which enable the computer to perform a designated task.  The copyright in that programme may remain with the originator of the </w:t>
      </w:r>
      <w:r w:rsidR="00714890">
        <w:rPr>
          <w:rFonts w:ascii="Times New Roman" w:eastAsia="Times New Roman" w:hAnsi="Times New Roman" w:cs="Times New Roman"/>
          <w:sz w:val="25"/>
          <w:szCs w:val="25"/>
        </w:rPr>
        <w:t>programmer</w:t>
      </w:r>
      <w:r w:rsidRPr="00575A20">
        <w:rPr>
          <w:rFonts w:ascii="Times New Roman" w:eastAsia="Times New Roman" w:hAnsi="Times New Roman" w:cs="Times New Roman"/>
          <w:sz w:val="25"/>
          <w:szCs w:val="25"/>
        </w:rPr>
        <w:t>, but the moment copies are made and marketed, it becomes goods, which are susceptible to sales tax.</w:t>
      </w:r>
      <w:r w:rsidR="0063621F">
        <w:rPr>
          <w:rFonts w:ascii="Times New Roman" w:eastAsia="Times New Roman" w:hAnsi="Times New Roman" w:cs="Times New Roman"/>
          <w:sz w:val="25"/>
          <w:szCs w:val="25"/>
        </w:rPr>
        <w:t xml:space="preserve"> </w:t>
      </w:r>
      <w:r w:rsidRPr="00575A20">
        <w:rPr>
          <w:rFonts w:ascii="Times New Roman" w:eastAsia="Times New Roman" w:hAnsi="Times New Roman" w:cs="Times New Roman"/>
          <w:sz w:val="25"/>
          <w:szCs w:val="25"/>
        </w:rPr>
        <w:t xml:space="preserve">In regard to the element of intellectual property, it was held that the same having been incorporated on a media,  for purposes of transfer, both tangible and intangible property capable of being transmitted, transferred, delivered, stored and possessed etc. would come within the </w:t>
      </w:r>
      <w:r w:rsidR="0063621F">
        <w:rPr>
          <w:rFonts w:ascii="Times New Roman" w:eastAsia="Times New Roman" w:hAnsi="Times New Roman" w:cs="Times New Roman"/>
          <w:sz w:val="25"/>
          <w:szCs w:val="25"/>
        </w:rPr>
        <w:t>purview thereof.  It was opined</w:t>
      </w:r>
      <w:r w:rsidRPr="00575A20">
        <w:rPr>
          <w:rFonts w:ascii="Times New Roman" w:eastAsia="Times New Roman" w:hAnsi="Times New Roman" w:cs="Times New Roman"/>
          <w:sz w:val="25"/>
          <w:szCs w:val="25"/>
        </w:rPr>
        <w: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3621F"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Thus, even unbranded software, when it is marketed/sold, may be goods.  We, however, are not dealing with this aspect and express no opinion thereon because in case of unbranded software other questions like situs of contract of sale and/or whether the contract i</w:t>
      </w:r>
      <w:r>
        <w:rPr>
          <w:rFonts w:ascii="Times New Roman" w:eastAsia="Times New Roman" w:hAnsi="Times New Roman" w:cs="Times New Roman"/>
          <w:sz w:val="25"/>
          <w:szCs w:val="25"/>
        </w:rPr>
        <w:t>s a service contract may arise.”</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63621F"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18. We may, furthermore, notice that therein one of us, in a separate but concurring judgment, opined </w:t>
      </w:r>
      <w:r w:rsidR="0063621F" w:rsidRPr="00575A20">
        <w:rPr>
          <w:rFonts w:ascii="Times New Roman" w:eastAsia="Times New Roman" w:hAnsi="Times New Roman" w:cs="Times New Roman"/>
          <w:sz w:val="25"/>
          <w:szCs w:val="25"/>
        </w:rPr>
        <w:t>as under:</w:t>
      </w:r>
    </w:p>
    <w:p w:rsidR="0063621F" w:rsidRDefault="0063621F"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xml:space="preserve"> </w:t>
      </w:r>
    </w:p>
    <w:p w:rsidR="00575A20" w:rsidRPr="00575A20" w:rsidRDefault="0063621F"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47EE8">
        <w:rPr>
          <w:rFonts w:ascii="Times New Roman" w:eastAsia="Times New Roman" w:hAnsi="Times New Roman" w:cs="Times New Roman"/>
          <w:sz w:val="25"/>
          <w:szCs w:val="25"/>
        </w:rPr>
        <w:t>Software</w:t>
      </w:r>
      <w:r w:rsidR="00575A20" w:rsidRPr="00575A20">
        <w:rPr>
          <w:rFonts w:ascii="Times New Roman" w:eastAsia="Times New Roman" w:hAnsi="Times New Roman" w:cs="Times New Roman"/>
          <w:sz w:val="25"/>
          <w:szCs w:val="25"/>
        </w:rPr>
        <w:t xml:space="preserve"> may be intellectual property but such personal intellectual property contained in a medium is bought and sold. It is an article of value. It is sold in various forms like</w:t>
      </w:r>
      <w:r w:rsidRPr="00575A20">
        <w:rPr>
          <w:rFonts w:ascii="Times New Roman" w:eastAsia="Times New Roman" w:hAnsi="Times New Roman" w:cs="Times New Roman"/>
          <w:sz w:val="25"/>
          <w:szCs w:val="25"/>
        </w:rPr>
        <w:t> floppies</w:t>
      </w:r>
      <w:r w:rsidR="00575A20" w:rsidRPr="00575A20">
        <w:rPr>
          <w:rFonts w:ascii="Times New Roman" w:eastAsia="Times New Roman" w:hAnsi="Times New Roman" w:cs="Times New Roman"/>
          <w:sz w:val="25"/>
          <w:szCs w:val="25"/>
        </w:rPr>
        <w:t>, disks, CD-ROMs, punch</w:t>
      </w:r>
      <w:r>
        <w:rPr>
          <w:rFonts w:ascii="Times New Roman" w:eastAsia="Times New Roman" w:hAnsi="Times New Roman" w:cs="Times New Roman"/>
          <w:sz w:val="25"/>
          <w:szCs w:val="25"/>
        </w:rPr>
        <w:t xml:space="preserve"> </w:t>
      </w:r>
      <w:r w:rsidR="00575A20" w:rsidRPr="00575A20">
        <w:rPr>
          <w:rFonts w:ascii="Times New Roman" w:eastAsia="Times New Roman" w:hAnsi="Times New Roman" w:cs="Times New Roman"/>
          <w:sz w:val="25"/>
          <w:szCs w:val="25"/>
        </w:rPr>
        <w:t xml:space="preserve">cards, magnetic tapes, etc. Each one of the mediums in which the intellectual property is contained is a marketable commodity. They are visible to the senses. They may be a medium through which the intellectual property is transferred but for the purpose of determining the question as regard s </w:t>
      </w:r>
      <w:r w:rsidRPr="00575A20">
        <w:rPr>
          <w:rFonts w:ascii="Times New Roman" w:eastAsia="Times New Roman" w:hAnsi="Times New Roman" w:cs="Times New Roman"/>
          <w:sz w:val="25"/>
          <w:szCs w:val="25"/>
        </w:rPr>
        <w:t>livability</w:t>
      </w:r>
      <w:r w:rsidR="00575A20" w:rsidRPr="00575A20">
        <w:rPr>
          <w:rFonts w:ascii="Times New Roman" w:eastAsia="Times New Roman" w:hAnsi="Times New Roman" w:cs="Times New Roman"/>
          <w:sz w:val="25"/>
          <w:szCs w:val="25"/>
        </w:rPr>
        <w:t xml:space="preserve"> of the tax under a fiscal statute, it may not make a difference. A program containing instructions in computer language is subject-matter of a </w:t>
      </w:r>
      <w:r w:rsidRPr="00575A20">
        <w:rPr>
          <w:rFonts w:ascii="Times New Roman" w:eastAsia="Times New Roman" w:hAnsi="Times New Roman" w:cs="Times New Roman"/>
          <w:sz w:val="25"/>
          <w:szCs w:val="25"/>
        </w:rPr>
        <w:t>license</w:t>
      </w:r>
      <w:r w:rsidR="00575A20" w:rsidRPr="00575A20">
        <w:rPr>
          <w:rFonts w:ascii="Times New Roman" w:eastAsia="Times New Roman" w:hAnsi="Times New Roman" w:cs="Times New Roman"/>
          <w:sz w:val="25"/>
          <w:szCs w:val="25"/>
        </w:rPr>
        <w:t xml:space="preserve">. It has its value to the buyer. It is useful to the person who intends to use the hardware viz. the computer in an effective manner so as to enable him to obtain the desired results. It indisputably becomes an object of trade and commerce. These mediums containing the intellectual property are not only easily available in the market for a price but are circulated as a commodity in the market. Only because an instruction manual designed to instruct use and installation of the supplier program is supplied with the software, the same would not necessarily mean that it would cease to be a </w:t>
      </w:r>
      <w:r w:rsidR="00575A20" w:rsidRPr="00575A20">
        <w:rPr>
          <w:rFonts w:ascii="Times New Roman" w:eastAsia="Times New Roman" w:hAnsi="Times New Roman" w:cs="Times New Roman"/>
          <w:sz w:val="25"/>
          <w:szCs w:val="25"/>
        </w:rPr>
        <w:t>goods</w:t>
      </w:r>
      <w:r w:rsidR="00575A20" w:rsidRPr="00575A20">
        <w:rPr>
          <w:rFonts w:ascii="Times New Roman" w:eastAsia="Times New Roman" w:hAnsi="Times New Roman" w:cs="Times New Roman"/>
          <w:sz w:val="25"/>
          <w:szCs w:val="25"/>
        </w:rPr>
        <w:t>. Such instructions contained in the manual are supplied with several other goods including electronic ones. What is essential for an article to become goods is its marketability.</w:t>
      </w: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 xml:space="preserv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t xml:space="preserve">19. The question yet again came up for consideration before a Three Judge Bench of this </w:t>
      </w:r>
      <w:r w:rsidRPr="00575A20">
        <w:rPr>
          <w:rFonts w:ascii="Times New Roman" w:eastAsia="Times New Roman" w:hAnsi="Times New Roman" w:cs="Times New Roman"/>
          <w:i/>
          <w:sz w:val="25"/>
          <w:szCs w:val="25"/>
        </w:rPr>
        <w:t>Court in Bharat Sanchar Nigam Ltd. v. Union of India</w:t>
      </w:r>
      <w:r w:rsidRPr="00575A20">
        <w:rPr>
          <w:rFonts w:ascii="Times New Roman" w:eastAsia="Times New Roman" w:hAnsi="Times New Roman" w:cs="Times New Roman"/>
          <w:sz w:val="25"/>
          <w:szCs w:val="25"/>
        </w:rPr>
        <w:t xml:space="preserve"> (supra) wherein it was held;</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3621F"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 xml:space="preserve"> Of all the different kinds of composite transactions the drafters of the Forty-sixth Amendment chose three specific situations, a works contract, a hire-purchase contract and a catering contract to bring them within the fiction of a deemed sale. Of these three, the first and third involve a kind of service and sale at the same time. Apart from these two cases where splitting of the service and supply has been constitutionally permitted in sub-clauses ( b ) and ( f ) of clause (29-A) of Article 366, there is no other service which has been permitted to be so split. For example, the sub-clauses of Article 366(29-A) do not cover hospital services. Therefore, if during the treatment of a patient in a hospital, he or she is given a pill, can the Sales Tax Authorities tax the transaction as a sale? Doctors, lawyers and other professionals render service in the course of which can it be said that there is a sale of goods when a doctor writes out and hands over a prescription or a lawyer drafts a document and delivers it to his/her client? Strictly speaking, with the payment of fees, consideration does pass from the patient or client to the doctor or lawyer for the documents in both cases.</w:t>
      </w: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 xml:space="preserv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575A20" w:rsidRPr="00575A20">
        <w:rPr>
          <w:rFonts w:ascii="Times New Roman" w:eastAsia="Times New Roman" w:hAnsi="Times New Roman" w:cs="Times New Roman"/>
          <w:sz w:val="25"/>
          <w:szCs w:val="25"/>
        </w:rPr>
        <w:t xml:space="preserve"> The reason why these services do not involve a sale for the purposes of Entry 54 of List II is, as we see it, for reasons ultimately attributable to the principles enunciated in Gannon </w:t>
      </w:r>
      <w:r w:rsidR="0063621F" w:rsidRPr="00575A20">
        <w:rPr>
          <w:rFonts w:ascii="Times New Roman" w:eastAsia="Times New Roman" w:hAnsi="Times New Roman" w:cs="Times New Roman"/>
          <w:sz w:val="25"/>
          <w:szCs w:val="25"/>
        </w:rPr>
        <w:t>Drunkenly</w:t>
      </w:r>
      <w:r w:rsidR="00575A20" w:rsidRPr="00575A20">
        <w:rPr>
          <w:rFonts w:ascii="Times New Roman" w:eastAsia="Times New Roman" w:hAnsi="Times New Roman" w:cs="Times New Roman"/>
          <w:sz w:val="25"/>
          <w:szCs w:val="25"/>
        </w:rPr>
        <w:t xml:space="preserve"> case 5, namely, if there is an instrument of contract which may be composite in form in any case other than the exceptions in Article 366(29-A), unless the transaction in truth represents two distinct and separate contracts and is discernible as such, then the State would not have the power to separate the agreement to sell from the agreement to render service, and impose tax on the sale. The test therefore for composite contracts other than those mentioned in Article 366(29-A) continues to be: Did the </w:t>
      </w:r>
      <w:r w:rsidR="00714890" w:rsidRPr="00575A20">
        <w:rPr>
          <w:rFonts w:ascii="Times New Roman" w:eastAsia="Times New Roman" w:hAnsi="Times New Roman" w:cs="Times New Roman"/>
          <w:sz w:val="25"/>
          <w:szCs w:val="25"/>
        </w:rPr>
        <w:t>parties</w:t>
      </w:r>
      <w:r w:rsidR="00575A20" w:rsidRPr="00575A20">
        <w:rPr>
          <w:rFonts w:ascii="Times New Roman" w:eastAsia="Times New Roman" w:hAnsi="Times New Roman" w:cs="Times New Roman"/>
          <w:sz w:val="25"/>
          <w:szCs w:val="25"/>
        </w:rPr>
        <w:t xml:space="preserve"> s have in mind or intend separate rights arising out of the sale of goods? If there was no such intention there is no sale even if the contract could be disintegrated. The test for deciding whether a contract falls into one category or the other is to as what is </w:t>
      </w:r>
      <w:r w:rsidR="00575A20" w:rsidRPr="00575A20">
        <w:rPr>
          <w:rFonts w:ascii="Times New Roman" w:eastAsia="Times New Roman" w:hAnsi="Times New Roman" w:cs="Times New Roman"/>
          <w:sz w:val="25"/>
          <w:szCs w:val="25"/>
        </w:rPr>
        <w:t>the substance of the contract</w:t>
      </w:r>
      <w:r w:rsidR="00575A20" w:rsidRPr="00575A20">
        <w:rPr>
          <w:rFonts w:ascii="Times New Roman" w:eastAsia="Times New Roman" w:hAnsi="Times New Roman" w:cs="Times New Roman"/>
          <w:sz w:val="25"/>
          <w:szCs w:val="25"/>
        </w:rPr>
        <w:t xml:space="preserve">. We will, for the want of a better phrase, call this the dominant nature test.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575A20" w:rsidRPr="00575A20">
        <w:rPr>
          <w:rFonts w:ascii="Times New Roman" w:eastAsia="Times New Roman" w:hAnsi="Times New Roman" w:cs="Times New Roman"/>
          <w:sz w:val="25"/>
          <w:szCs w:val="25"/>
        </w:rPr>
        <w:t xml:space="preserve">. What are the </w:t>
      </w:r>
      <w:r w:rsidR="00575A20" w:rsidRPr="00575A20">
        <w:rPr>
          <w:rFonts w:ascii="Times New Roman" w:eastAsia="Times New Roman" w:hAnsi="Times New Roman" w:cs="Times New Roman"/>
          <w:sz w:val="25"/>
          <w:szCs w:val="25"/>
        </w:rPr>
        <w:t>goods</w:t>
      </w:r>
      <w:r w:rsidR="00575A20" w:rsidRPr="00575A20">
        <w:rPr>
          <w:rFonts w:ascii="Times New Roman" w:eastAsia="Times New Roman" w:hAnsi="Times New Roman" w:cs="Times New Roman"/>
          <w:sz w:val="25"/>
          <w:szCs w:val="25"/>
        </w:rPr>
        <w:t> in a sales transaction, therefore, remains primarily a matter of contract and intention. The seller and such purchaser would have to be ad idem as to the subject-matter of sale or purchase. The court would have to arrive at the conclusion as to what the parties had intended when they entered into a particular transaction of sale, as being the subject-matter of sale or purchase. In arriving at a conclusion the court would have to approach the matter from the point of view of a reasonable person of average intelligence.</w:t>
      </w:r>
      <w:r w:rsidR="00575A20" w:rsidRPr="00575A20">
        <w:rPr>
          <w:rFonts w:ascii="Times New Roman" w:eastAsia="Times New Roman" w:hAnsi="Times New Roman" w:cs="Times New Roman"/>
          <w:sz w:val="25"/>
          <w:szCs w:val="25"/>
        </w:rPr>
        <w:t xml:space="preserv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575A20" w:rsidRPr="00575A20">
        <w:rPr>
          <w:rFonts w:ascii="Times New Roman" w:eastAsia="Times New Roman" w:hAnsi="Times New Roman" w:cs="Times New Roman"/>
          <w:sz w:val="25"/>
          <w:szCs w:val="25"/>
        </w:rPr>
        <w:t xml:space="preserve"> We may, at this juncture, also notice the decision of this Court in Associated Cement Company (supra).  The question which arose for consideration therein was as to whether any intellectual property contained in </w:t>
      </w:r>
      <w:r w:rsidR="0063621F" w:rsidRPr="00575A20">
        <w:rPr>
          <w:rFonts w:ascii="Times New Roman" w:eastAsia="Times New Roman" w:hAnsi="Times New Roman" w:cs="Times New Roman"/>
          <w:sz w:val="25"/>
          <w:szCs w:val="25"/>
        </w:rPr>
        <w:t>software</w:t>
      </w:r>
      <w:r w:rsidR="00575A20" w:rsidRPr="00575A20">
        <w:rPr>
          <w:rFonts w:ascii="Times New Roman" w:eastAsia="Times New Roman" w:hAnsi="Times New Roman" w:cs="Times New Roman"/>
          <w:sz w:val="25"/>
          <w:szCs w:val="25"/>
        </w:rPr>
        <w:t xml:space="preserve"> would be subject to custom duty within the meaning of Section 2(22) of the Customs Act, defining goods.  A three Judge Bench of this Court sought to make a distinction between such a contingency arising under the Customs Act involving a works contract</w:t>
      </w:r>
      <w:r w:rsidR="0063621F">
        <w:rPr>
          <w:rFonts w:ascii="Times New Roman" w:eastAsia="Times New Roman" w:hAnsi="Times New Roman" w:cs="Times New Roman"/>
          <w:sz w:val="25"/>
          <w:szCs w:val="25"/>
        </w:rPr>
        <w:t xml:space="preserve"> and a contract of sale stating</w:t>
      </w:r>
      <w:r w:rsidR="00575A20" w:rsidRPr="00575A20">
        <w:rPr>
          <w:rFonts w:ascii="Times New Roman" w:eastAsia="Times New Roman" w:hAnsi="Times New Roman" w:cs="Times New Roman"/>
          <w:sz w:val="25"/>
          <w:szCs w:val="25"/>
        </w:rPr>
        <w: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lastRenderedPageBreak/>
        <w:t> </w:t>
      </w:r>
    </w:p>
    <w:p w:rsidR="00575A20" w:rsidRPr="00575A20" w:rsidRDefault="0063621F"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In the sales tax cases referred to hereinabove no doubt the question which arose was whether in a works contract, where there was a supply of materials and services in an indivisible contract, but there the question had arisen because the States</w:t>
      </w:r>
      <w:r w:rsidR="00575A20" w:rsidRPr="00575A20">
        <w:rPr>
          <w:rFonts w:ascii="Times New Roman" w:eastAsia="Times New Roman" w:hAnsi="Times New Roman" w:cs="Times New Roman"/>
          <w:sz w:val="25"/>
          <w:szCs w:val="25"/>
        </w:rPr>
        <w:t> powers prior to the Forty-sixth Amendment to the Constitution, were not entitled to bifurcate or split up the contract for the purpose of levying sales tax on the element of moveable goods involved in the contract. Apart from the decision in Rainbow Colour Lab case 11 which does not appear to be correct, the other decisions cited related to the pre-Forty-sixth Amendment period. Furthermore, the provisions of the Customs Act and the Tariff Act are clear and unambiguous. Any moveable articles, irrespective of what they may be or may contain, would be goods as defined in S</w:t>
      </w:r>
      <w:r>
        <w:rPr>
          <w:rFonts w:ascii="Times New Roman" w:eastAsia="Times New Roman" w:hAnsi="Times New Roman" w:cs="Times New Roman"/>
          <w:sz w:val="25"/>
          <w:szCs w:val="25"/>
        </w:rPr>
        <w:t>ection 2(22) of the Customs Act.”</w:t>
      </w:r>
      <w:r w:rsidR="00575A20" w:rsidRPr="00575A20">
        <w:rPr>
          <w:rFonts w:ascii="Times New Roman" w:eastAsia="Times New Roman" w:hAnsi="Times New Roman" w:cs="Times New Roman"/>
          <w:sz w:val="25"/>
          <w:szCs w:val="25"/>
        </w:rPr>
        <w:t xml:space="preserv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575A20" w:rsidRPr="00575A20">
        <w:rPr>
          <w:rFonts w:ascii="Times New Roman" w:eastAsia="Times New Roman" w:hAnsi="Times New Roman" w:cs="Times New Roman"/>
          <w:sz w:val="25"/>
          <w:szCs w:val="25"/>
        </w:rPr>
        <w:t>. Evidently, therefore, the decision of Associated Cement Company Supra) whereupon strong reliance has been placed by the Tribunal as also by the High Court seeks to make a distinction between cases arising out of works contract where</w:t>
      </w:r>
      <w:r w:rsidR="00714890">
        <w:rPr>
          <w:rFonts w:ascii="Times New Roman" w:eastAsia="Times New Roman" w:hAnsi="Times New Roman" w:cs="Times New Roman"/>
          <w:sz w:val="25"/>
          <w:szCs w:val="25"/>
        </w:rPr>
        <w:t xml:space="preserve"> </w:t>
      </w:r>
      <w:r w:rsidR="00575A20" w:rsidRPr="00575A20">
        <w:rPr>
          <w:rFonts w:ascii="Times New Roman" w:eastAsia="Times New Roman" w:hAnsi="Times New Roman" w:cs="Times New Roman"/>
          <w:sz w:val="25"/>
          <w:szCs w:val="25"/>
        </w:rPr>
        <w:t xml:space="preserve">for sales tax is liable to be paid and the cases under the Customs Act.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575A20" w:rsidRPr="00575A20">
        <w:rPr>
          <w:rFonts w:ascii="Times New Roman" w:eastAsia="Times New Roman" w:hAnsi="Times New Roman" w:cs="Times New Roman"/>
          <w:sz w:val="25"/>
          <w:szCs w:val="25"/>
        </w:rPr>
        <w:t xml:space="preserve"> Our attention has furthermore been drawn to the decision of this Court in Bharat Sanchar Nigam Ltd. (supra) wherein referring to Tata Consultancy (supra) it was observed that the approach of this Court in the said decision as to what would be goods</w:t>
      </w:r>
      <w:r w:rsidR="00575A20" w:rsidRPr="00575A20">
        <w:rPr>
          <w:rFonts w:ascii="Times New Roman" w:eastAsia="Times New Roman" w:hAnsi="Times New Roman" w:cs="Times New Roman"/>
          <w:sz w:val="25"/>
          <w:szCs w:val="25"/>
        </w:rPr>
        <w:t xml:space="preserve"> for the purpose of sales tax is correct.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575A20" w:rsidRPr="00575A20">
        <w:rPr>
          <w:rFonts w:ascii="Times New Roman" w:eastAsia="Times New Roman" w:hAnsi="Times New Roman" w:cs="Times New Roman"/>
          <w:sz w:val="25"/>
          <w:szCs w:val="25"/>
        </w:rPr>
        <w:t xml:space="preserve">. What, however, did not fall for consideration in any of the aforementioned decisions is the concept of works contract involving both services as also supply of goods constituting a sale.  Both, in Tata Consultancy (supra) as also in Associated Cement Company (supra), what was in issue was the value of the goods and only for the said purpose, this Court went by the definition thereof both under the Customs Act as also the Sales Tax Act to hold that the same must have the attributes of its utility, capability of being bought and sold and capability of being transmitted, transferred, delivered, stored and possessed.  As software was found to be having the said attributes, they were held to be goods.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575A20" w:rsidRPr="00575A20">
        <w:rPr>
          <w:rFonts w:ascii="Times New Roman" w:eastAsia="Times New Roman" w:hAnsi="Times New Roman" w:cs="Times New Roman"/>
          <w:sz w:val="25"/>
          <w:szCs w:val="25"/>
        </w:rPr>
        <w:t xml:space="preserve">. We have, however, a different problem at hand.  Appellant admittedly is a service provider.   When it provides for service, it is assessable to a tax known as service tax.  Such tax is </w:t>
      </w:r>
      <w:r w:rsidR="00714890" w:rsidRPr="00575A20">
        <w:rPr>
          <w:rFonts w:ascii="Times New Roman" w:eastAsia="Times New Roman" w:hAnsi="Times New Roman" w:cs="Times New Roman"/>
          <w:sz w:val="25"/>
          <w:szCs w:val="25"/>
        </w:rPr>
        <w:t>livable</w:t>
      </w:r>
      <w:r w:rsidR="00575A20" w:rsidRPr="00575A20">
        <w:rPr>
          <w:rFonts w:ascii="Times New Roman" w:eastAsia="Times New Roman" w:hAnsi="Times New Roman" w:cs="Times New Roman"/>
          <w:sz w:val="25"/>
          <w:szCs w:val="25"/>
        </w:rPr>
        <w:t xml:space="preserve"> by reason of a Parliamentary statute.  In the matter of interpretation of a taxing statute, as also other statutes where the applicability of Article 246 of the Constitution of India, read with Seventh Schedule thereof is in question, the Court may have to take recourse</w:t>
      </w:r>
      <w:r w:rsidR="0063621F">
        <w:rPr>
          <w:rFonts w:ascii="Times New Roman" w:eastAsia="Times New Roman" w:hAnsi="Times New Roman" w:cs="Times New Roman"/>
          <w:sz w:val="25"/>
          <w:szCs w:val="25"/>
        </w:rPr>
        <w:t xml:space="preserve"> to various theories including </w:t>
      </w:r>
      <w:r w:rsidR="00575A20" w:rsidRPr="00575A20">
        <w:rPr>
          <w:rFonts w:ascii="Times New Roman" w:eastAsia="Times New Roman" w:hAnsi="Times New Roman" w:cs="Times New Roman"/>
          <w:sz w:val="25"/>
          <w:szCs w:val="25"/>
        </w:rPr>
        <w:t>aspect theory</w:t>
      </w:r>
      <w:r w:rsidR="00575A20" w:rsidRPr="00575A20">
        <w:rPr>
          <w:rFonts w:ascii="Times New Roman" w:eastAsia="Times New Roman" w:hAnsi="Times New Roman" w:cs="Times New Roman"/>
          <w:sz w:val="25"/>
          <w:szCs w:val="25"/>
        </w:rPr>
        <w:t xml:space="preserve">, as was noticed by this Court in Federation of </w:t>
      </w:r>
      <w:r w:rsidR="00575A20" w:rsidRPr="00575A20">
        <w:rPr>
          <w:rFonts w:ascii="Times New Roman" w:eastAsia="Times New Roman" w:hAnsi="Times New Roman" w:cs="Times New Roman"/>
          <w:i/>
          <w:sz w:val="25"/>
          <w:szCs w:val="25"/>
        </w:rPr>
        <w:t>Hotel &amp; Restaurant Association of Ind</w:t>
      </w:r>
      <w:r w:rsidR="0063621F">
        <w:rPr>
          <w:rFonts w:ascii="Times New Roman" w:eastAsia="Times New Roman" w:hAnsi="Times New Roman" w:cs="Times New Roman"/>
          <w:i/>
          <w:sz w:val="25"/>
          <w:szCs w:val="25"/>
        </w:rPr>
        <w:t>ia, etc. v. Union of India&amp; Ors</w:t>
      </w:r>
      <w:r w:rsidR="0063621F">
        <w:rPr>
          <w:rFonts w:ascii="Times New Roman" w:eastAsia="Times New Roman" w:hAnsi="Times New Roman" w:cs="Times New Roman"/>
          <w:i/>
          <w:sz w:val="25"/>
          <w:szCs w:val="25"/>
          <w:vertAlign w:val="superscript"/>
        </w:rPr>
        <w:t>.</w:t>
      </w:r>
    </w:p>
    <w:p w:rsidR="0063621F"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575A20" w:rsidRPr="00575A20">
        <w:rPr>
          <w:rFonts w:ascii="Times New Roman" w:eastAsia="Times New Roman" w:hAnsi="Times New Roman" w:cs="Times New Roman"/>
          <w:sz w:val="25"/>
          <w:szCs w:val="25"/>
        </w:rPr>
        <w:t xml:space="preserve">. If the submission of Mr. </w:t>
      </w:r>
      <w:r w:rsidR="0063621F" w:rsidRPr="00575A20">
        <w:rPr>
          <w:rFonts w:ascii="Times New Roman" w:eastAsia="Times New Roman" w:hAnsi="Times New Roman" w:cs="Times New Roman"/>
          <w:sz w:val="25"/>
          <w:szCs w:val="25"/>
        </w:rPr>
        <w:t>Hedge</w:t>
      </w:r>
      <w:r w:rsidR="00575A20" w:rsidRPr="00575A20">
        <w:rPr>
          <w:rFonts w:ascii="Times New Roman" w:eastAsia="Times New Roman" w:hAnsi="Times New Roman" w:cs="Times New Roman"/>
          <w:sz w:val="25"/>
          <w:szCs w:val="25"/>
        </w:rPr>
        <w:t xml:space="preserve"> is accepted in its entirety, whereas on the one hand, the Central Government would be deprived of obtaining any tax whatsoever under the Finance Act, 1994, it is possible to arrive at a conclusion that no tax at all would be payable as the tax has been held to be an indivisible one.  A distinction must be borne in mind between an indivisible contract and a composit</w:t>
      </w:r>
      <w:r w:rsidR="00714890">
        <w:rPr>
          <w:rFonts w:ascii="Times New Roman" w:eastAsia="Times New Roman" w:hAnsi="Times New Roman" w:cs="Times New Roman"/>
          <w:sz w:val="25"/>
          <w:szCs w:val="25"/>
        </w:rPr>
        <w:t>e contract.  If in a contract, </w:t>
      </w:r>
      <w:r w:rsidR="00575A20" w:rsidRPr="00575A20">
        <w:rPr>
          <w:rFonts w:ascii="Times New Roman" w:eastAsia="Times New Roman" w:hAnsi="Times New Roman" w:cs="Times New Roman"/>
          <w:sz w:val="25"/>
          <w:szCs w:val="25"/>
        </w:rPr>
        <w:t xml:space="preserve">an element to provide service </w:t>
      </w:r>
      <w:r w:rsidR="00575A20" w:rsidRPr="00575A20">
        <w:rPr>
          <w:rFonts w:ascii="Times New Roman" w:eastAsia="Times New Roman" w:hAnsi="Times New Roman" w:cs="Times New Roman"/>
          <w:sz w:val="25"/>
          <w:szCs w:val="25"/>
        </w:rPr>
        <w:lastRenderedPageBreak/>
        <w:t xml:space="preserve">is contained, the purport and object for which the Constitution had to be amended and clause 29A had to be inserted in Article 366, must be kept in mind.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575A20" w:rsidRPr="00575A20">
        <w:rPr>
          <w:rFonts w:ascii="Times New Roman" w:eastAsia="Times New Roman" w:hAnsi="Times New Roman" w:cs="Times New Roman"/>
          <w:sz w:val="25"/>
          <w:szCs w:val="25"/>
        </w:rPr>
        <w:t xml:space="preserve">. We have noticed hereinbefore that a legal fiction is created by reason of the said provision.  Such a legal fiction, as is well known, should be applied only to the extent for which it was enacted.  It, although must be given its full effect but the same would not mean that it should be applied beyond a point which was not contemplated by the legislature or which would lead to an anomaly or absurdity.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575A20" w:rsidRPr="00575A20">
        <w:rPr>
          <w:rFonts w:ascii="Times New Roman" w:eastAsia="Times New Roman" w:hAnsi="Times New Roman" w:cs="Times New Roman"/>
          <w:sz w:val="25"/>
          <w:szCs w:val="25"/>
        </w:rPr>
        <w:t>. The Court, while interpreting a statute, must bear in mind that the legislature was supposed to know law and the legislation enacted is a reasonable one.  The Court must also bear in mind that where the application of a Parliamentary and a Legislative Act comes up for consideration; end</w:t>
      </w:r>
      <w:r w:rsidR="0063621F">
        <w:rPr>
          <w:rFonts w:ascii="Times New Roman" w:eastAsia="Times New Roman" w:hAnsi="Times New Roman" w:cs="Times New Roman"/>
          <w:sz w:val="25"/>
          <w:szCs w:val="25"/>
        </w:rPr>
        <w:t xml:space="preserve"> </w:t>
      </w:r>
      <w:r w:rsidR="0063621F" w:rsidRPr="00575A20">
        <w:rPr>
          <w:rFonts w:ascii="Times New Roman" w:eastAsia="Times New Roman" w:hAnsi="Times New Roman" w:cs="Times New Roman"/>
          <w:sz w:val="25"/>
          <w:szCs w:val="25"/>
        </w:rPr>
        <w:t>favors</w:t>
      </w:r>
      <w:r w:rsidR="00575A20" w:rsidRPr="00575A20">
        <w:rPr>
          <w:rFonts w:ascii="Times New Roman" w:eastAsia="Times New Roman" w:hAnsi="Times New Roman" w:cs="Times New Roman"/>
          <w:sz w:val="25"/>
          <w:szCs w:val="25"/>
        </w:rPr>
        <w:t xml:space="preserve"> shall be made to see that provisions of both the acts are made applicable.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575A20" w:rsidRPr="00575A20">
        <w:rPr>
          <w:rFonts w:ascii="Times New Roman" w:eastAsia="Times New Roman" w:hAnsi="Times New Roman" w:cs="Times New Roman"/>
          <w:sz w:val="25"/>
          <w:szCs w:val="25"/>
        </w:rPr>
        <w:t xml:space="preserve"> Payments of service tax as also the VAT are mutually exclusive. Therefore, they should be held to be applicable having regard to the respective parameters of service tax and the sales tax as envisaged in a composite contract as contradistinguished from an indivisible contract.  It may consist of different elements providing for attracting different nature of levy.   It is, therefore, difficult to hold that in a case of this nature, sales tax would be payable on the value of the entire contract; irrespective of the element of service provided.  The approach of the assessing authority, to us, thus, appears to be correct. </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00575A20" w:rsidRPr="00575A20">
        <w:rPr>
          <w:rFonts w:ascii="Times New Roman" w:eastAsia="Times New Roman" w:hAnsi="Times New Roman" w:cs="Times New Roman"/>
          <w:sz w:val="25"/>
          <w:szCs w:val="25"/>
        </w:rPr>
        <w:t xml:space="preserve">. We may notice that the concept of aspects theory whcih had found echoes in </w:t>
      </w:r>
      <w:r w:rsidR="00575A20" w:rsidRPr="00575A20">
        <w:rPr>
          <w:rFonts w:ascii="Times New Roman" w:eastAsia="Times New Roman" w:hAnsi="Times New Roman" w:cs="Times New Roman"/>
          <w:i/>
          <w:sz w:val="25"/>
          <w:szCs w:val="25"/>
        </w:rPr>
        <w:t>State of U.P. A</w:t>
      </w:r>
      <w:r w:rsidR="0063621F">
        <w:rPr>
          <w:rFonts w:ascii="Times New Roman" w:eastAsia="Times New Roman" w:hAnsi="Times New Roman" w:cs="Times New Roman"/>
          <w:i/>
          <w:sz w:val="25"/>
          <w:szCs w:val="25"/>
        </w:rPr>
        <w:t>nother v. Union of India &amp; Anr</w:t>
      </w:r>
      <w:r w:rsidR="0063621F" w:rsidRPr="0063621F">
        <w:rPr>
          <w:rFonts w:ascii="Times New Roman" w:eastAsia="Times New Roman" w:hAnsi="Times New Roman" w:cs="Times New Roman"/>
          <w:i/>
          <w:sz w:val="25"/>
          <w:szCs w:val="25"/>
          <w:vertAlign w:val="superscript"/>
        </w:rPr>
        <w:t>10</w:t>
      </w:r>
      <w:r w:rsidR="00575A20" w:rsidRPr="00575A20">
        <w:rPr>
          <w:rFonts w:ascii="Times New Roman" w:eastAsia="Times New Roman" w:hAnsi="Times New Roman" w:cs="Times New Roman"/>
          <w:sz w:val="25"/>
          <w:szCs w:val="25"/>
        </w:rPr>
        <w:t>has expressly been overruled by a Three Judge Bench in Bharat San</w:t>
      </w:r>
      <w:r w:rsidR="0063621F">
        <w:rPr>
          <w:rFonts w:ascii="Times New Roman" w:eastAsia="Times New Roman" w:hAnsi="Times New Roman" w:cs="Times New Roman"/>
          <w:sz w:val="25"/>
          <w:szCs w:val="25"/>
        </w:rPr>
        <w:t>char Nigam Ltd. (supra) stating</w:t>
      </w:r>
      <w:r w:rsidR="00575A20" w:rsidRPr="00575A20">
        <w:rPr>
          <w:rFonts w:ascii="Times New Roman" w:eastAsia="Times New Roman" w:hAnsi="Times New Roman" w:cs="Times New Roman"/>
          <w:sz w:val="25"/>
          <w:szCs w:val="25"/>
        </w:rPr>
        <w:t>:</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Pr="00575A20" w:rsidRDefault="0063621F" w:rsidP="00ED07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A20" w:rsidRPr="00575A20">
        <w:rPr>
          <w:rFonts w:ascii="Times New Roman" w:eastAsia="Times New Roman" w:hAnsi="Times New Roman" w:cs="Times New Roman"/>
          <w:sz w:val="25"/>
          <w:szCs w:val="25"/>
        </w:rPr>
        <w:t>But if there are no deliverable goods in existence as in this case, there is no transfer of user at all. Providing access or telephone connection does not put the subscriber in possession of the electromagnetic waves any more than a toll collector puts a road or bridge into the possession of the toll payer by lifting a toll gate. Of course the toll payer will use the road or bridge in one sense. But the distinction with a sale of goods is that the user would be of the thing or goods delivered. The delivery may not be simultaneous with the transfer of the right to use. But the goods must be in existence and deliverable when the right is sought to be transferred.</w:t>
      </w:r>
      <w:r>
        <w:rPr>
          <w:rFonts w:ascii="Times New Roman" w:eastAsia="Times New Roman" w:hAnsi="Times New Roman" w:cs="Times New Roman"/>
          <w:sz w:val="25"/>
          <w:szCs w:val="25"/>
        </w:rPr>
        <w:t xml:space="preserve"> </w:t>
      </w:r>
      <w:r w:rsidR="00575A20" w:rsidRPr="00575A20">
        <w:rPr>
          <w:rFonts w:ascii="Times New Roman" w:eastAsia="Times New Roman" w:hAnsi="Times New Roman" w:cs="Times New Roman"/>
          <w:sz w:val="25"/>
          <w:szCs w:val="25"/>
        </w:rPr>
        <w:t>Therefore whether goods are incorporeal or corporeal, tangible or intangible, they must be deliverable. To the extent that the decision in State of U.P. v. Union of India held otherwise, it was, i</w:t>
      </w:r>
      <w:r>
        <w:rPr>
          <w:rFonts w:ascii="Times New Roman" w:eastAsia="Times New Roman" w:hAnsi="Times New Roman" w:cs="Times New Roman"/>
          <w:sz w:val="25"/>
          <w:szCs w:val="25"/>
        </w:rPr>
        <w:t>n our humble opinion erroneous.”</w:t>
      </w:r>
    </w:p>
    <w:p w:rsidR="00575A20" w:rsidRPr="00575A20" w:rsidRDefault="00575A20" w:rsidP="00ED074B">
      <w:pPr>
        <w:spacing w:after="0" w:line="240" w:lineRule="auto"/>
        <w:jc w:val="both"/>
        <w:rPr>
          <w:rFonts w:ascii="Times New Roman" w:eastAsia="Times New Roman" w:hAnsi="Times New Roman" w:cs="Times New Roman"/>
          <w:sz w:val="25"/>
          <w:szCs w:val="25"/>
        </w:rPr>
      </w:pPr>
      <w:r w:rsidRPr="00575A20">
        <w:rPr>
          <w:rFonts w:ascii="Times New Roman" w:eastAsia="Times New Roman" w:hAnsi="Times New Roman" w:cs="Times New Roman"/>
          <w:sz w:val="25"/>
          <w:szCs w:val="25"/>
        </w:rPr>
        <w:t> </w:t>
      </w:r>
    </w:p>
    <w:p w:rsidR="00575A20" w:rsidRDefault="00647EE8" w:rsidP="00ED07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0063621F">
        <w:rPr>
          <w:rFonts w:ascii="Times New Roman" w:eastAsia="Times New Roman" w:hAnsi="Times New Roman" w:cs="Times New Roman"/>
          <w:sz w:val="25"/>
          <w:szCs w:val="25"/>
        </w:rPr>
        <w:t xml:space="preserve">. </w:t>
      </w:r>
      <w:r w:rsidR="00575A20" w:rsidRPr="00575A20">
        <w:rPr>
          <w:rFonts w:ascii="Times New Roman" w:eastAsia="Times New Roman" w:hAnsi="Times New Roman" w:cs="Times New Roman"/>
          <w:sz w:val="25"/>
          <w:szCs w:val="25"/>
        </w:rPr>
        <w:t>For the reasons aforementioned, the impugned judgment cannot be sustained.  It is set aside accordingly.  The Appeal is allowed.  No costs.</w:t>
      </w:r>
    </w:p>
    <w:p w:rsidR="0063621F" w:rsidRPr="00575A20" w:rsidRDefault="0063621F" w:rsidP="00ED074B">
      <w:pPr>
        <w:spacing w:after="0" w:line="240" w:lineRule="auto"/>
        <w:jc w:val="both"/>
        <w:rPr>
          <w:rFonts w:ascii="Times New Roman" w:eastAsia="Times New Roman" w:hAnsi="Times New Roman" w:cs="Times New Roman"/>
          <w:sz w:val="25"/>
          <w:szCs w:val="25"/>
        </w:rPr>
      </w:pPr>
    </w:p>
    <w:p w:rsidR="007E06D1" w:rsidRDefault="0063621F" w:rsidP="00ED074B">
      <w:pPr>
        <w:spacing w:after="0" w:line="240" w:lineRule="auto"/>
        <w:jc w:val="both"/>
        <w:rPr>
          <w:rFonts w:ascii="Times New Roman" w:hAnsi="Times New Roman" w:cs="Times New Roman"/>
          <w:i/>
        </w:rPr>
      </w:pPr>
      <w:r w:rsidRPr="0063621F">
        <w:rPr>
          <w:rFonts w:ascii="Times New Roman" w:hAnsi="Times New Roman" w:cs="Times New Roman"/>
          <w:i/>
        </w:rPr>
        <w:t xml:space="preserve"> Cases Referred </w:t>
      </w:r>
    </w:p>
    <w:p w:rsidR="0063621F" w:rsidRDefault="0063621F" w:rsidP="00ED074B">
      <w:pPr>
        <w:spacing w:after="0" w:line="240" w:lineRule="auto"/>
        <w:jc w:val="both"/>
        <w:rPr>
          <w:rFonts w:ascii="Times New Roman" w:hAnsi="Times New Roman" w:cs="Times New Roman"/>
          <w:i/>
        </w:rPr>
      </w:pPr>
    </w:p>
    <w:p w:rsidR="00647EE8"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t>1</w:t>
      </w:r>
      <w:r w:rsidRPr="00575A20">
        <w:rPr>
          <w:rFonts w:ascii="Times New Roman" w:eastAsia="Times New Roman" w:hAnsi="Times New Roman" w:cs="Times New Roman"/>
          <w:i/>
          <w:sz w:val="20"/>
          <w:szCs w:val="20"/>
        </w:rPr>
        <w:t>(2001) 4 SCC 593</w:t>
      </w:r>
    </w:p>
    <w:p w:rsidR="0063621F" w:rsidRPr="0063621F"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lastRenderedPageBreak/>
        <w:t>2</w:t>
      </w:r>
      <w:r w:rsidRPr="0063621F">
        <w:rPr>
          <w:rFonts w:ascii="Times New Roman" w:eastAsia="Times New Roman" w:hAnsi="Times New Roman" w:cs="Times New Roman"/>
          <w:i/>
          <w:sz w:val="20"/>
          <w:szCs w:val="20"/>
        </w:rPr>
        <w:t>(2005) 1 SCC 132</w:t>
      </w:r>
    </w:p>
    <w:p w:rsidR="0063621F" w:rsidRPr="0063621F"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t>3</w:t>
      </w:r>
      <w:r w:rsidRPr="0063621F">
        <w:rPr>
          <w:rFonts w:ascii="Times New Roman" w:eastAsia="Times New Roman" w:hAnsi="Times New Roman" w:cs="Times New Roman"/>
          <w:i/>
          <w:sz w:val="20"/>
          <w:szCs w:val="20"/>
        </w:rPr>
        <w:t>[(2006) 3 SCC 1</w:t>
      </w:r>
    </w:p>
    <w:p w:rsidR="0063621F" w:rsidRPr="0063621F"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t>4</w:t>
      </w:r>
      <w:r w:rsidRPr="00575A20">
        <w:rPr>
          <w:rFonts w:ascii="Times New Roman" w:eastAsia="Times New Roman" w:hAnsi="Times New Roman" w:cs="Times New Roman"/>
          <w:i/>
          <w:sz w:val="20"/>
          <w:szCs w:val="20"/>
        </w:rPr>
        <w:t>1959 SCR 379</w:t>
      </w:r>
    </w:p>
    <w:p w:rsidR="0063621F" w:rsidRPr="0063621F"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t>5</w:t>
      </w:r>
      <w:r w:rsidRPr="0063621F">
        <w:rPr>
          <w:rFonts w:ascii="Times New Roman" w:eastAsia="Times New Roman" w:hAnsi="Times New Roman" w:cs="Times New Roman"/>
          <w:i/>
          <w:sz w:val="20"/>
          <w:szCs w:val="20"/>
        </w:rPr>
        <w:t>(1993) 1 SCC 364</w:t>
      </w:r>
    </w:p>
    <w:p w:rsidR="0063621F" w:rsidRPr="0063621F"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t>6</w:t>
      </w:r>
      <w:r w:rsidRPr="00575A20">
        <w:rPr>
          <w:rFonts w:ascii="Times New Roman" w:eastAsia="Times New Roman" w:hAnsi="Times New Roman" w:cs="Times New Roman"/>
          <w:i/>
          <w:sz w:val="20"/>
          <w:szCs w:val="20"/>
        </w:rPr>
        <w:t>(2006) 3 SCC 1</w:t>
      </w:r>
    </w:p>
    <w:p w:rsidR="0063621F" w:rsidRPr="0063621F"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t>7</w:t>
      </w:r>
      <w:r w:rsidRPr="0063621F">
        <w:rPr>
          <w:rFonts w:ascii="Times New Roman" w:eastAsia="Times New Roman" w:hAnsi="Times New Roman" w:cs="Times New Roman"/>
          <w:i/>
          <w:sz w:val="20"/>
          <w:szCs w:val="20"/>
        </w:rPr>
        <w:t>1959 SCR 379</w:t>
      </w:r>
    </w:p>
    <w:p w:rsidR="0063621F" w:rsidRPr="0063621F"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t>8</w:t>
      </w:r>
      <w:r w:rsidRPr="00575A20">
        <w:rPr>
          <w:rFonts w:ascii="Times New Roman" w:eastAsia="Times New Roman" w:hAnsi="Times New Roman" w:cs="Times New Roman"/>
          <w:i/>
          <w:sz w:val="20"/>
          <w:szCs w:val="20"/>
        </w:rPr>
        <w:t>(1993) 1 SCC 364</w:t>
      </w:r>
    </w:p>
    <w:p w:rsidR="0063621F" w:rsidRPr="0063621F" w:rsidRDefault="0063621F" w:rsidP="00ED074B">
      <w:pPr>
        <w:spacing w:after="0" w:line="240" w:lineRule="auto"/>
        <w:jc w:val="both"/>
        <w:rPr>
          <w:rFonts w:ascii="Times New Roman" w:eastAsia="Times New Roman" w:hAnsi="Times New Roman" w:cs="Times New Roman"/>
          <w:i/>
          <w:sz w:val="20"/>
          <w:szCs w:val="20"/>
        </w:rPr>
      </w:pPr>
      <w:r w:rsidRPr="0063621F">
        <w:rPr>
          <w:rFonts w:ascii="Times New Roman" w:eastAsia="Times New Roman" w:hAnsi="Times New Roman" w:cs="Times New Roman"/>
          <w:i/>
          <w:sz w:val="20"/>
          <w:szCs w:val="20"/>
          <w:vertAlign w:val="superscript"/>
        </w:rPr>
        <w:t>9</w:t>
      </w:r>
      <w:r w:rsidRPr="00575A20">
        <w:rPr>
          <w:rFonts w:ascii="Times New Roman" w:eastAsia="Times New Roman" w:hAnsi="Times New Roman" w:cs="Times New Roman"/>
          <w:i/>
          <w:sz w:val="20"/>
          <w:szCs w:val="20"/>
        </w:rPr>
        <w:t>(1989) 3 SCC 634</w:t>
      </w:r>
    </w:p>
    <w:p w:rsidR="0063621F" w:rsidRPr="00575A20" w:rsidRDefault="0063621F" w:rsidP="00ED074B">
      <w:pPr>
        <w:spacing w:after="0" w:line="240" w:lineRule="auto"/>
        <w:jc w:val="both"/>
        <w:rPr>
          <w:rFonts w:ascii="Times New Roman" w:eastAsia="Times New Roman" w:hAnsi="Times New Roman" w:cs="Times New Roman"/>
          <w:sz w:val="20"/>
          <w:szCs w:val="20"/>
        </w:rPr>
      </w:pPr>
      <w:r w:rsidRPr="0063621F">
        <w:rPr>
          <w:rFonts w:ascii="Times New Roman" w:eastAsia="Times New Roman" w:hAnsi="Times New Roman" w:cs="Times New Roman"/>
          <w:i/>
          <w:sz w:val="20"/>
          <w:szCs w:val="20"/>
          <w:vertAlign w:val="superscript"/>
        </w:rPr>
        <w:t>10</w:t>
      </w:r>
      <w:r w:rsidRPr="00575A20">
        <w:rPr>
          <w:rFonts w:ascii="Times New Roman" w:eastAsia="Times New Roman" w:hAnsi="Times New Roman" w:cs="Times New Roman"/>
          <w:i/>
          <w:sz w:val="20"/>
          <w:szCs w:val="20"/>
        </w:rPr>
        <w:t>(2003) 3 SCC 239</w:t>
      </w:r>
    </w:p>
    <w:p w:rsidR="0063621F" w:rsidRPr="0063621F" w:rsidRDefault="0063621F" w:rsidP="00ED074B">
      <w:pPr>
        <w:spacing w:after="0" w:line="240" w:lineRule="auto"/>
        <w:jc w:val="both"/>
        <w:rPr>
          <w:rFonts w:ascii="Times New Roman" w:hAnsi="Times New Roman" w:cs="Times New Roman"/>
          <w:i/>
          <w:sz w:val="20"/>
          <w:szCs w:val="20"/>
        </w:rPr>
      </w:pPr>
    </w:p>
    <w:sectPr w:rsidR="0063621F" w:rsidRPr="0063621F" w:rsidSect="0071489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EFB" w:rsidRDefault="00386EFB" w:rsidP="00714890">
      <w:pPr>
        <w:spacing w:after="0" w:line="240" w:lineRule="auto"/>
      </w:pPr>
      <w:r>
        <w:separator/>
      </w:r>
    </w:p>
  </w:endnote>
  <w:endnote w:type="continuationSeparator" w:id="1">
    <w:p w:rsidR="00386EFB" w:rsidRDefault="00386EFB" w:rsidP="00714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7100"/>
      <w:docPartObj>
        <w:docPartGallery w:val="Page Numbers (Bottom of Page)"/>
        <w:docPartUnique/>
      </w:docPartObj>
    </w:sdtPr>
    <w:sdtEndPr>
      <w:rPr>
        <w:rFonts w:ascii="Times New Roman" w:hAnsi="Times New Roman" w:cs="Times New Roman"/>
      </w:rPr>
    </w:sdtEndPr>
    <w:sdtContent>
      <w:p w:rsidR="00714890" w:rsidRPr="00714890" w:rsidRDefault="00714890">
        <w:pPr>
          <w:pStyle w:val="Footer"/>
          <w:jc w:val="center"/>
          <w:rPr>
            <w:rFonts w:ascii="Times New Roman" w:hAnsi="Times New Roman" w:cs="Times New Roman"/>
          </w:rPr>
        </w:pPr>
        <w:r>
          <w:rPr>
            <w:rFonts w:ascii="Times New Roman" w:hAnsi="Times New Roman" w:cs="Times New Roman"/>
          </w:rPr>
          <w:t xml:space="preserve">                                                                           </w:t>
        </w:r>
        <w:r w:rsidRPr="00714890">
          <w:rPr>
            <w:rFonts w:ascii="Times New Roman" w:hAnsi="Times New Roman" w:cs="Times New Roman"/>
          </w:rPr>
          <w:fldChar w:fldCharType="begin"/>
        </w:r>
        <w:r w:rsidRPr="00714890">
          <w:rPr>
            <w:rFonts w:ascii="Times New Roman" w:hAnsi="Times New Roman" w:cs="Times New Roman"/>
          </w:rPr>
          <w:instrText xml:space="preserve"> PAGE   \* MERGEFORMAT </w:instrText>
        </w:r>
        <w:r w:rsidRPr="00714890">
          <w:rPr>
            <w:rFonts w:ascii="Times New Roman" w:hAnsi="Times New Roman" w:cs="Times New Roman"/>
          </w:rPr>
          <w:fldChar w:fldCharType="separate"/>
        </w:r>
        <w:r>
          <w:rPr>
            <w:rFonts w:ascii="Times New Roman" w:hAnsi="Times New Roman" w:cs="Times New Roman"/>
            <w:noProof/>
          </w:rPr>
          <w:t>11</w:t>
        </w:r>
        <w:r w:rsidRPr="00714890">
          <w:rPr>
            <w:rFonts w:ascii="Times New Roman" w:hAnsi="Times New Roman" w:cs="Times New Roman"/>
          </w:rPr>
          <w:fldChar w:fldCharType="end"/>
        </w:r>
        <w:r w:rsidRPr="00714890">
          <w:rPr>
            <w:rFonts w:ascii="Times New Roman" w:hAnsi="Times New Roman" w:cs="Times New Roman"/>
          </w:rPr>
          <w:t xml:space="preserve">. </w:t>
        </w:r>
        <w:r>
          <w:rPr>
            <w:rFonts w:ascii="Times New Roman" w:hAnsi="Times New Roman" w:cs="Times New Roman"/>
          </w:rPr>
          <w:t xml:space="preserve">                                                                </w:t>
        </w:r>
        <w:r w:rsidRPr="00714890">
          <w:rPr>
            <w:rFonts w:ascii="Times New Roman" w:hAnsi="Times New Roman" w:cs="Times New Roman"/>
          </w:rPr>
          <w:t>SpotLaw</w:t>
        </w:r>
      </w:p>
    </w:sdtContent>
  </w:sdt>
  <w:p w:rsidR="00714890" w:rsidRPr="00714890" w:rsidRDefault="0071489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EFB" w:rsidRDefault="00386EFB" w:rsidP="00714890">
      <w:pPr>
        <w:spacing w:after="0" w:line="240" w:lineRule="auto"/>
      </w:pPr>
      <w:r>
        <w:separator/>
      </w:r>
    </w:p>
  </w:footnote>
  <w:footnote w:type="continuationSeparator" w:id="1">
    <w:p w:rsidR="00386EFB" w:rsidRDefault="00386EFB" w:rsidP="007148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5A20"/>
    <w:rsid w:val="00386EFB"/>
    <w:rsid w:val="00575A20"/>
    <w:rsid w:val="0063621F"/>
    <w:rsid w:val="00647EE8"/>
    <w:rsid w:val="00714890"/>
    <w:rsid w:val="007E06D1"/>
    <w:rsid w:val="00ED0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48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4890"/>
  </w:style>
  <w:style w:type="paragraph" w:styleId="Footer">
    <w:name w:val="footer"/>
    <w:basedOn w:val="Normal"/>
    <w:link w:val="FooterChar"/>
    <w:uiPriority w:val="99"/>
    <w:unhideWhenUsed/>
    <w:rsid w:val="00714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890"/>
  </w:style>
</w:styles>
</file>

<file path=word/webSettings.xml><?xml version="1.0" encoding="utf-8"?>
<w:webSettings xmlns:r="http://schemas.openxmlformats.org/officeDocument/2006/relationships" xmlns:w="http://schemas.openxmlformats.org/wordprocessingml/2006/main">
  <w:divs>
    <w:div w:id="221867414">
      <w:bodyDiv w:val="1"/>
      <w:marLeft w:val="0"/>
      <w:marRight w:val="0"/>
      <w:marTop w:val="0"/>
      <w:marBottom w:val="0"/>
      <w:divBdr>
        <w:top w:val="none" w:sz="0" w:space="0" w:color="auto"/>
        <w:left w:val="none" w:sz="0" w:space="0" w:color="auto"/>
        <w:bottom w:val="none" w:sz="0" w:space="0" w:color="auto"/>
        <w:right w:val="none" w:sz="0" w:space="0" w:color="auto"/>
      </w:divBdr>
      <w:divsChild>
        <w:div w:id="393814876">
          <w:marLeft w:val="0"/>
          <w:marRight w:val="0"/>
          <w:marTop w:val="0"/>
          <w:marBottom w:val="0"/>
          <w:divBdr>
            <w:top w:val="none" w:sz="0" w:space="0" w:color="auto"/>
            <w:left w:val="none" w:sz="0" w:space="0" w:color="auto"/>
            <w:bottom w:val="none" w:sz="0" w:space="0" w:color="auto"/>
            <w:right w:val="none" w:sz="0" w:space="0" w:color="auto"/>
          </w:divBdr>
          <w:divsChild>
            <w:div w:id="11712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2015-11-24T07:30:00Z</dcterms:created>
  <dcterms:modified xsi:type="dcterms:W3CDTF">2015-11-24T08:31:00Z</dcterms:modified>
</cp:coreProperties>
</file>