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D2" w:rsidRDefault="00891B4B" w:rsidP="00891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891B4B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891B4B" w:rsidRPr="00891B4B" w:rsidRDefault="00891B4B" w:rsidP="00891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891B4B" w:rsidRDefault="00891B4B" w:rsidP="00891B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Dharamvir &amp; A</w:t>
      </w:r>
      <w:r w:rsidR="006C1FD2" w:rsidRPr="00891B4B">
        <w:rPr>
          <w:rFonts w:ascii="Times New Roman" w:eastAsia="Times New Roman" w:hAnsi="Times New Roman" w:cs="Times New Roman"/>
          <w:bCs/>
          <w:sz w:val="25"/>
          <w:szCs w:val="25"/>
        </w:rPr>
        <w:t>nr</w:t>
      </w:r>
    </w:p>
    <w:p w:rsidR="00891B4B" w:rsidRDefault="00891B4B" w:rsidP="00891B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891B4B" w:rsidRDefault="00891B4B" w:rsidP="00891B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Vs.</w:t>
      </w:r>
    </w:p>
    <w:p w:rsidR="00891B4B" w:rsidRDefault="00891B4B" w:rsidP="00891B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891B4B" w:rsidRDefault="00891B4B" w:rsidP="00891B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State o</w:t>
      </w:r>
      <w:r w:rsidR="006C1FD2" w:rsidRPr="00891B4B">
        <w:rPr>
          <w:rFonts w:ascii="Times New Roman" w:eastAsia="Times New Roman" w:hAnsi="Times New Roman" w:cs="Times New Roman"/>
          <w:bCs/>
          <w:sz w:val="25"/>
          <w:szCs w:val="25"/>
        </w:rPr>
        <w:t>f U.P</w:t>
      </w:r>
    </w:p>
    <w:p w:rsidR="00891B4B" w:rsidRDefault="00891B4B" w:rsidP="00891B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891B4B" w:rsidRDefault="00891B4B" w:rsidP="00891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Crl.A.No.</w:t>
      </w:r>
      <w:r w:rsidRPr="00891B4B">
        <w:rPr>
          <w:rFonts w:ascii="Times New Roman" w:eastAsia="Times New Roman" w:hAnsi="Times New Roman" w:cs="Times New Roman"/>
          <w:sz w:val="25"/>
          <w:szCs w:val="25"/>
        </w:rPr>
        <w:t>138 of 2008</w:t>
      </w:r>
    </w:p>
    <w:p w:rsidR="006C1FD2" w:rsidRDefault="006C1FD2" w:rsidP="00891B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6C1FD2" w:rsidRDefault="00891B4B" w:rsidP="00891B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(C.K. Thakker and </w:t>
      </w:r>
      <w:r w:rsidR="006C1FD2" w:rsidRPr="00891B4B">
        <w:rPr>
          <w:rFonts w:ascii="Times New Roman" w:eastAsia="Times New Roman" w:hAnsi="Times New Roman" w:cs="Times New Roman"/>
          <w:bCs/>
          <w:sz w:val="25"/>
          <w:szCs w:val="25"/>
        </w:rPr>
        <w:t>D.K. Jain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,JJ)</w:t>
      </w:r>
    </w:p>
    <w:p w:rsidR="00891B4B" w:rsidRPr="00891B4B" w:rsidRDefault="00891B4B" w:rsidP="00891B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891B4B" w:rsidRDefault="00891B4B" w:rsidP="00891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18.01.</w:t>
      </w:r>
      <w:r w:rsidRPr="00891B4B">
        <w:rPr>
          <w:rFonts w:ascii="Times New Roman" w:eastAsia="Times New Roman" w:hAnsi="Times New Roman" w:cs="Times New Roman"/>
          <w:bCs/>
          <w:sz w:val="25"/>
          <w:szCs w:val="25"/>
        </w:rPr>
        <w:t>2008</w:t>
      </w:r>
    </w:p>
    <w:p w:rsidR="00891B4B" w:rsidRPr="00891B4B" w:rsidRDefault="00891B4B" w:rsidP="00891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91B4B" w:rsidRDefault="00891B4B" w:rsidP="00891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891B4B">
        <w:rPr>
          <w:rFonts w:ascii="Times New Roman" w:eastAsia="Times New Roman" w:hAnsi="Times New Roman" w:cs="Times New Roman"/>
          <w:b/>
          <w:sz w:val="25"/>
          <w:szCs w:val="25"/>
        </w:rPr>
        <w:t>ORDE</w:t>
      </w:r>
      <w:r w:rsidR="006C1FD2" w:rsidRPr="00891B4B">
        <w:rPr>
          <w:rFonts w:ascii="Times New Roman" w:eastAsia="Times New Roman" w:hAnsi="Times New Roman" w:cs="Times New Roman"/>
          <w:b/>
          <w:sz w:val="25"/>
          <w:szCs w:val="25"/>
        </w:rPr>
        <w:t>R</w:t>
      </w:r>
    </w:p>
    <w:p w:rsidR="00891B4B" w:rsidRPr="00891B4B" w:rsidRDefault="00891B4B" w:rsidP="00891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891B4B" w:rsidRDefault="006C1FD2" w:rsidP="00891B4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1B4B">
        <w:rPr>
          <w:rFonts w:ascii="Times New Roman" w:eastAsia="Times New Roman" w:hAnsi="Times New Roman" w:cs="Times New Roman"/>
          <w:sz w:val="25"/>
          <w:szCs w:val="25"/>
        </w:rPr>
        <w:t xml:space="preserve">Arising out of S.L.P.(Criminal) No.1950 of 2007 </w:t>
      </w:r>
    </w:p>
    <w:p w:rsidR="00891B4B" w:rsidRDefault="00891B4B" w:rsidP="00891B4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C1FD2" w:rsidRDefault="00891B4B" w:rsidP="00891B4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6C1FD2" w:rsidRPr="00891B4B">
        <w:rPr>
          <w:rFonts w:ascii="Times New Roman" w:eastAsia="Times New Roman" w:hAnsi="Times New Roman" w:cs="Times New Roman"/>
          <w:sz w:val="25"/>
          <w:szCs w:val="25"/>
        </w:rPr>
        <w:t>Leave granted.</w:t>
      </w:r>
    </w:p>
    <w:p w:rsidR="00891B4B" w:rsidRPr="00891B4B" w:rsidRDefault="00891B4B" w:rsidP="00891B4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C1FD2" w:rsidRPr="00891B4B" w:rsidRDefault="00891B4B" w:rsidP="00891B4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="006C1FD2" w:rsidRPr="00891B4B">
        <w:rPr>
          <w:rFonts w:ascii="Times New Roman" w:eastAsia="Times New Roman" w:hAnsi="Times New Roman" w:cs="Times New Roman"/>
          <w:sz w:val="25"/>
          <w:szCs w:val="25"/>
        </w:rPr>
        <w:t>The learned counsel for the parties stated that the matter has been settled amicably and an appropriate order of acquittal may be passed considering the provisions of </w:t>
      </w:r>
      <w:hyperlink r:id="rId6" w:history="1">
        <w:r w:rsidR="006C1FD2" w:rsidRPr="00891B4B">
          <w:rPr>
            <w:rFonts w:ascii="Times New Roman" w:eastAsia="Times New Roman" w:hAnsi="Times New Roman" w:cs="Times New Roman"/>
            <w:sz w:val="25"/>
            <w:szCs w:val="25"/>
          </w:rPr>
          <w:t>Sections 342</w:t>
        </w:r>
      </w:hyperlink>
      <w:r w:rsidR="006C1FD2" w:rsidRPr="00891B4B">
        <w:rPr>
          <w:rFonts w:ascii="Times New Roman" w:eastAsia="Times New Roman" w:hAnsi="Times New Roman" w:cs="Times New Roman"/>
          <w:sz w:val="25"/>
          <w:szCs w:val="25"/>
        </w:rPr>
        <w:t> and </w:t>
      </w:r>
      <w:hyperlink r:id="rId7" w:history="1">
        <w:r w:rsidR="006C1FD2" w:rsidRPr="00891B4B">
          <w:rPr>
            <w:rFonts w:ascii="Times New Roman" w:eastAsia="Times New Roman" w:hAnsi="Times New Roman" w:cs="Times New Roman"/>
            <w:sz w:val="25"/>
            <w:szCs w:val="25"/>
          </w:rPr>
          <w:t>323</w:t>
        </w:r>
      </w:hyperlink>
      <w:r w:rsidR="006C1FD2" w:rsidRPr="00891B4B">
        <w:rPr>
          <w:rFonts w:ascii="Times New Roman" w:eastAsia="Times New Roman" w:hAnsi="Times New Roman" w:cs="Times New Roman"/>
          <w:sz w:val="25"/>
          <w:szCs w:val="25"/>
        </w:rPr>
        <w:t>of the Indian Penal Code (IPC) and the provisions of sub- sections (1) and (8) of </w:t>
      </w:r>
      <w:hyperlink r:id="rId8" w:history="1">
        <w:r w:rsidR="006C1FD2" w:rsidRPr="00891B4B">
          <w:rPr>
            <w:rFonts w:ascii="Times New Roman" w:eastAsia="Times New Roman" w:hAnsi="Times New Roman" w:cs="Times New Roman"/>
            <w:sz w:val="25"/>
            <w:szCs w:val="25"/>
          </w:rPr>
          <w:t>Section 320</w:t>
        </w:r>
      </w:hyperlink>
      <w:r w:rsidR="006C1FD2" w:rsidRPr="00891B4B">
        <w:rPr>
          <w:rFonts w:ascii="Times New Roman" w:eastAsia="Times New Roman" w:hAnsi="Times New Roman" w:cs="Times New Roman"/>
          <w:sz w:val="25"/>
          <w:szCs w:val="25"/>
        </w:rPr>
        <w:t> of the Code of Criminal Procedure, 1973 (for short hereinafter referred to as the 'Code').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C1FD2" w:rsidRPr="00891B4B">
        <w:rPr>
          <w:rFonts w:ascii="Times New Roman" w:eastAsia="Times New Roman" w:hAnsi="Times New Roman" w:cs="Times New Roman"/>
          <w:sz w:val="25"/>
          <w:szCs w:val="25"/>
        </w:rPr>
        <w:t>Sub-section (1) of </w:t>
      </w:r>
      <w:hyperlink r:id="rId9" w:history="1">
        <w:r w:rsidR="006C1FD2" w:rsidRPr="00891B4B">
          <w:rPr>
            <w:rFonts w:ascii="Times New Roman" w:eastAsia="Times New Roman" w:hAnsi="Times New Roman" w:cs="Times New Roman"/>
            <w:sz w:val="25"/>
            <w:szCs w:val="25"/>
          </w:rPr>
          <w:t>Section 320</w:t>
        </w:r>
      </w:hyperlink>
      <w:r w:rsidR="006C1FD2" w:rsidRPr="00891B4B">
        <w:rPr>
          <w:rFonts w:ascii="Times New Roman" w:eastAsia="Times New Roman" w:hAnsi="Times New Roman" w:cs="Times New Roman"/>
          <w:sz w:val="25"/>
          <w:szCs w:val="25"/>
        </w:rPr>
        <w:t> of the Code states that the offence specified under in the Table under the said sub-section are compoundable by the parties (without the leave of the Court). Both the offences punishable under </w:t>
      </w:r>
      <w:hyperlink r:id="rId10" w:history="1">
        <w:r w:rsidR="006C1FD2" w:rsidRPr="00891B4B">
          <w:rPr>
            <w:rFonts w:ascii="Times New Roman" w:eastAsia="Times New Roman" w:hAnsi="Times New Roman" w:cs="Times New Roman"/>
            <w:sz w:val="25"/>
            <w:szCs w:val="25"/>
          </w:rPr>
          <w:t>Sections 342</w:t>
        </w:r>
      </w:hyperlink>
      <w:r w:rsidR="006C1FD2" w:rsidRPr="00891B4B">
        <w:rPr>
          <w:rFonts w:ascii="Times New Roman" w:eastAsia="Times New Roman" w:hAnsi="Times New Roman" w:cs="Times New Roman"/>
          <w:sz w:val="25"/>
          <w:szCs w:val="25"/>
        </w:rPr>
        <w:t> and </w:t>
      </w:r>
      <w:hyperlink r:id="rId11" w:history="1">
        <w:r w:rsidR="006C1FD2" w:rsidRPr="00891B4B">
          <w:rPr>
            <w:rFonts w:ascii="Times New Roman" w:eastAsia="Times New Roman" w:hAnsi="Times New Roman" w:cs="Times New Roman"/>
            <w:sz w:val="25"/>
            <w:szCs w:val="25"/>
          </w:rPr>
          <w:t>323</w:t>
        </w:r>
      </w:hyperlink>
      <w:r w:rsidR="006C1FD2" w:rsidRPr="00891B4B">
        <w:rPr>
          <w:rFonts w:ascii="Times New Roman" w:eastAsia="Times New Roman" w:hAnsi="Times New Roman" w:cs="Times New Roman"/>
          <w:sz w:val="25"/>
          <w:szCs w:val="25"/>
        </w:rPr>
        <w:t>, </w:t>
      </w:r>
      <w:hyperlink r:id="rId12" w:history="1">
        <w:r w:rsidR="006C1FD2" w:rsidRPr="00891B4B">
          <w:rPr>
            <w:rFonts w:ascii="Times New Roman" w:eastAsia="Times New Roman" w:hAnsi="Times New Roman" w:cs="Times New Roman"/>
            <w:sz w:val="25"/>
            <w:szCs w:val="25"/>
          </w:rPr>
          <w:t>IPC</w:t>
        </w:r>
      </w:hyperlink>
      <w:r w:rsidR="006C1FD2" w:rsidRPr="00891B4B">
        <w:rPr>
          <w:rFonts w:ascii="Times New Roman" w:eastAsia="Times New Roman" w:hAnsi="Times New Roman" w:cs="Times New Roman"/>
          <w:sz w:val="25"/>
          <w:szCs w:val="25"/>
        </w:rPr>
        <w:t> are shown in Table under sub-section (1) of </w:t>
      </w:r>
      <w:hyperlink r:id="rId13" w:history="1">
        <w:r w:rsidR="006C1FD2" w:rsidRPr="00891B4B">
          <w:rPr>
            <w:rFonts w:ascii="Times New Roman" w:eastAsia="Times New Roman" w:hAnsi="Times New Roman" w:cs="Times New Roman"/>
            <w:sz w:val="25"/>
            <w:szCs w:val="25"/>
          </w:rPr>
          <w:t>Section 320</w:t>
        </w:r>
      </w:hyperlink>
      <w:r w:rsidR="006C1FD2" w:rsidRPr="00891B4B">
        <w:rPr>
          <w:rFonts w:ascii="Times New Roman" w:eastAsia="Times New Roman" w:hAnsi="Times New Roman" w:cs="Times New Roman"/>
          <w:sz w:val="25"/>
          <w:szCs w:val="25"/>
        </w:rPr>
        <w:t> of the Code. Since the appellants have been convicted for those offences, i.e. offences punishable under </w:t>
      </w:r>
      <w:hyperlink r:id="rId14" w:history="1">
        <w:r w:rsidR="006C1FD2" w:rsidRPr="00891B4B">
          <w:rPr>
            <w:rFonts w:ascii="Times New Roman" w:eastAsia="Times New Roman" w:hAnsi="Times New Roman" w:cs="Times New Roman"/>
            <w:sz w:val="25"/>
            <w:szCs w:val="25"/>
          </w:rPr>
          <w:t>Sections 342</w:t>
        </w:r>
      </w:hyperlink>
      <w:r w:rsidR="006C1FD2" w:rsidRPr="00891B4B">
        <w:rPr>
          <w:rFonts w:ascii="Times New Roman" w:eastAsia="Times New Roman" w:hAnsi="Times New Roman" w:cs="Times New Roman"/>
          <w:sz w:val="25"/>
          <w:szCs w:val="25"/>
        </w:rPr>
        <w:t> and </w:t>
      </w:r>
      <w:hyperlink r:id="rId15" w:history="1">
        <w:r w:rsidR="006C1FD2" w:rsidRPr="00891B4B">
          <w:rPr>
            <w:rFonts w:ascii="Times New Roman" w:eastAsia="Times New Roman" w:hAnsi="Times New Roman" w:cs="Times New Roman"/>
            <w:sz w:val="25"/>
            <w:szCs w:val="25"/>
          </w:rPr>
          <w:t>323</w:t>
        </w:r>
      </w:hyperlink>
      <w:r w:rsidR="006C1FD2" w:rsidRPr="00891B4B">
        <w:rPr>
          <w:rFonts w:ascii="Times New Roman" w:eastAsia="Times New Roman" w:hAnsi="Times New Roman" w:cs="Times New Roman"/>
          <w:sz w:val="25"/>
          <w:szCs w:val="25"/>
        </w:rPr>
        <w:t> IPC and both the offences are compoundable, consequential order acquitting the appellants can be passed under sub-section (8) of </w:t>
      </w:r>
      <w:hyperlink r:id="rId16" w:history="1">
        <w:r w:rsidR="006C1FD2" w:rsidRPr="00891B4B">
          <w:rPr>
            <w:rFonts w:ascii="Times New Roman" w:eastAsia="Times New Roman" w:hAnsi="Times New Roman" w:cs="Times New Roman"/>
            <w:sz w:val="25"/>
            <w:szCs w:val="25"/>
          </w:rPr>
          <w:t>Section 320</w:t>
        </w:r>
      </w:hyperlink>
      <w:r w:rsidR="006C1FD2" w:rsidRPr="00891B4B">
        <w:rPr>
          <w:rFonts w:ascii="Times New Roman" w:eastAsia="Times New Roman" w:hAnsi="Times New Roman" w:cs="Times New Roman"/>
          <w:sz w:val="25"/>
          <w:szCs w:val="25"/>
        </w:rPr>
        <w:t>of the Code. We, accordingly, acquit the appellants for the offences with which they were charged and convicted by the Courts below.</w:t>
      </w:r>
    </w:p>
    <w:p w:rsidR="006C1FD2" w:rsidRPr="00891B4B" w:rsidRDefault="006C1FD2" w:rsidP="00891B4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91B4B">
        <w:rPr>
          <w:rFonts w:ascii="Times New Roman" w:eastAsia="Times New Roman" w:hAnsi="Times New Roman" w:cs="Times New Roman"/>
          <w:sz w:val="25"/>
          <w:szCs w:val="25"/>
        </w:rPr>
        <w:t>The appeal is, accordingly, allowed.</w:t>
      </w:r>
    </w:p>
    <w:p w:rsidR="00891B4B" w:rsidRDefault="00891B4B" w:rsidP="00891B4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1B4B" w:rsidRPr="00891B4B" w:rsidRDefault="00891B4B" w:rsidP="00891B4B">
      <w:pPr>
        <w:rPr>
          <w:rFonts w:ascii="Times New Roman" w:hAnsi="Times New Roman" w:cs="Times New Roman"/>
          <w:sz w:val="25"/>
          <w:szCs w:val="25"/>
        </w:rPr>
      </w:pPr>
    </w:p>
    <w:p w:rsidR="00891B4B" w:rsidRPr="00891B4B" w:rsidRDefault="00891B4B" w:rsidP="00891B4B">
      <w:pPr>
        <w:rPr>
          <w:rFonts w:ascii="Times New Roman" w:hAnsi="Times New Roman" w:cs="Times New Roman"/>
          <w:sz w:val="25"/>
          <w:szCs w:val="25"/>
        </w:rPr>
      </w:pPr>
    </w:p>
    <w:p w:rsidR="00891B4B" w:rsidRDefault="00891B4B" w:rsidP="00891B4B">
      <w:pPr>
        <w:rPr>
          <w:rFonts w:ascii="Times New Roman" w:hAnsi="Times New Roman" w:cs="Times New Roman"/>
          <w:sz w:val="25"/>
          <w:szCs w:val="25"/>
        </w:rPr>
      </w:pPr>
    </w:p>
    <w:p w:rsidR="00A8667D" w:rsidRPr="00891B4B" w:rsidRDefault="00891B4B" w:rsidP="00891B4B">
      <w:pPr>
        <w:tabs>
          <w:tab w:val="left" w:pos="5310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sectPr w:rsidR="00A8667D" w:rsidRPr="00891B4B" w:rsidSect="00A8667D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954" w:rsidRDefault="00822954" w:rsidP="00891B4B">
      <w:pPr>
        <w:spacing w:after="0" w:line="240" w:lineRule="auto"/>
      </w:pPr>
      <w:r>
        <w:separator/>
      </w:r>
    </w:p>
  </w:endnote>
  <w:endnote w:type="continuationSeparator" w:id="1">
    <w:p w:rsidR="00822954" w:rsidRDefault="00822954" w:rsidP="0089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2383733"/>
      <w:docPartObj>
        <w:docPartGallery w:val="Page Numbers (Bottom of Page)"/>
        <w:docPartUnique/>
      </w:docPartObj>
    </w:sdtPr>
    <w:sdtContent>
      <w:p w:rsidR="00891B4B" w:rsidRPr="00891B4B" w:rsidRDefault="00891B4B">
        <w:pPr>
          <w:pStyle w:val="Footer"/>
          <w:jc w:val="center"/>
          <w:rPr>
            <w:rFonts w:ascii="Times New Roman" w:hAnsi="Times New Roman" w:cs="Times New Roman"/>
          </w:rPr>
        </w:pPr>
        <w:r w:rsidRPr="00891B4B">
          <w:rPr>
            <w:rFonts w:ascii="Times New Roman" w:hAnsi="Times New Roman" w:cs="Times New Roman"/>
          </w:rPr>
          <w:t xml:space="preserve">                                                           </w:t>
        </w:r>
        <w:r w:rsidRPr="00891B4B">
          <w:rPr>
            <w:rFonts w:ascii="Times New Roman" w:hAnsi="Times New Roman" w:cs="Times New Roman"/>
          </w:rPr>
          <w:fldChar w:fldCharType="begin"/>
        </w:r>
        <w:r w:rsidRPr="00891B4B">
          <w:rPr>
            <w:rFonts w:ascii="Times New Roman" w:hAnsi="Times New Roman" w:cs="Times New Roman"/>
          </w:rPr>
          <w:instrText xml:space="preserve"> PAGE   \* MERGEFORMAT </w:instrText>
        </w:r>
        <w:r w:rsidRPr="00891B4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891B4B">
          <w:rPr>
            <w:rFonts w:ascii="Times New Roman" w:hAnsi="Times New Roman" w:cs="Times New Roman"/>
          </w:rPr>
          <w:fldChar w:fldCharType="end"/>
        </w:r>
        <w:r w:rsidRPr="00891B4B">
          <w:rPr>
            <w:rFonts w:ascii="Times New Roman" w:hAnsi="Times New Roman" w:cs="Times New Roman"/>
          </w:rPr>
          <w:t xml:space="preserve">                            </w:t>
        </w:r>
        <w:r>
          <w:rPr>
            <w:rFonts w:ascii="Times New Roman" w:hAnsi="Times New Roman" w:cs="Times New Roman"/>
          </w:rPr>
          <w:t xml:space="preserve">  </w:t>
        </w:r>
        <w:r w:rsidRPr="00891B4B">
          <w:rPr>
            <w:rFonts w:ascii="Times New Roman" w:hAnsi="Times New Roman" w:cs="Times New Roman"/>
          </w:rPr>
          <w:t xml:space="preserve">                                                SpotLaw</w:t>
        </w:r>
      </w:p>
    </w:sdtContent>
  </w:sdt>
  <w:p w:rsidR="00891B4B" w:rsidRPr="00891B4B" w:rsidRDefault="00891B4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954" w:rsidRDefault="00822954" w:rsidP="00891B4B">
      <w:pPr>
        <w:spacing w:after="0" w:line="240" w:lineRule="auto"/>
      </w:pPr>
      <w:r>
        <w:separator/>
      </w:r>
    </w:p>
  </w:footnote>
  <w:footnote w:type="continuationSeparator" w:id="1">
    <w:p w:rsidR="00822954" w:rsidRDefault="00822954" w:rsidP="00891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E02"/>
    <w:rsid w:val="000A11ED"/>
    <w:rsid w:val="000E7D33"/>
    <w:rsid w:val="001C6B88"/>
    <w:rsid w:val="00272C38"/>
    <w:rsid w:val="005102D8"/>
    <w:rsid w:val="006C1FD2"/>
    <w:rsid w:val="006D4195"/>
    <w:rsid w:val="007264CB"/>
    <w:rsid w:val="007530BE"/>
    <w:rsid w:val="0077004F"/>
    <w:rsid w:val="007F02CC"/>
    <w:rsid w:val="00822954"/>
    <w:rsid w:val="008246BF"/>
    <w:rsid w:val="00846542"/>
    <w:rsid w:val="00855F0F"/>
    <w:rsid w:val="00891B4B"/>
    <w:rsid w:val="0097057F"/>
    <w:rsid w:val="009D2E02"/>
    <w:rsid w:val="00A8667D"/>
    <w:rsid w:val="00A910AF"/>
    <w:rsid w:val="00BC6712"/>
    <w:rsid w:val="00C22D68"/>
    <w:rsid w:val="00D15F62"/>
    <w:rsid w:val="00D851D7"/>
    <w:rsid w:val="00E60B56"/>
    <w:rsid w:val="00E9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2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2E0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D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46542"/>
  </w:style>
  <w:style w:type="character" w:styleId="Hyperlink">
    <w:name w:val="Hyperlink"/>
    <w:basedOn w:val="DefaultParagraphFont"/>
    <w:uiPriority w:val="99"/>
    <w:semiHidden/>
    <w:unhideWhenUsed/>
    <w:rsid w:val="008465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1B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1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B4B"/>
  </w:style>
  <w:style w:type="paragraph" w:styleId="Footer">
    <w:name w:val="footer"/>
    <w:basedOn w:val="Normal"/>
    <w:link w:val="FooterChar"/>
    <w:uiPriority w:val="99"/>
    <w:unhideWhenUsed/>
    <w:rsid w:val="00891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9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2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7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4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7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6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7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8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0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6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0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7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2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7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7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9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4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ankanoon.org/doc/91933/" TargetMode="External"/><Relationship Id="rId13" Type="http://schemas.openxmlformats.org/officeDocument/2006/relationships/hyperlink" Target="http://indiankanoon.org/doc/895891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diankanoon.org/doc/1011035/" TargetMode="External"/><Relationship Id="rId12" Type="http://schemas.openxmlformats.org/officeDocument/2006/relationships/hyperlink" Target="http://indiankanoon.org/doc/1569253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indiankanoon.org/doc/895891/" TargetMode="External"/><Relationship Id="rId1" Type="http://schemas.openxmlformats.org/officeDocument/2006/relationships/styles" Target="styles.xml"/><Relationship Id="rId6" Type="http://schemas.openxmlformats.org/officeDocument/2006/relationships/hyperlink" Target="http://indiankanoon.org/doc/1243353/" TargetMode="External"/><Relationship Id="rId11" Type="http://schemas.openxmlformats.org/officeDocument/2006/relationships/hyperlink" Target="http://indiankanoon.org/doc/1011035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ndiankanoon.org/doc/1011035/" TargetMode="External"/><Relationship Id="rId10" Type="http://schemas.openxmlformats.org/officeDocument/2006/relationships/hyperlink" Target="http://indiankanoon.org/doc/1243353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indiankanoon.org/doc/895891/" TargetMode="External"/><Relationship Id="rId14" Type="http://schemas.openxmlformats.org/officeDocument/2006/relationships/hyperlink" Target="http://indiankanoon.org/doc/12433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2015-12-31T13:59:00Z</dcterms:created>
  <dcterms:modified xsi:type="dcterms:W3CDTF">2015-12-31T13:59:00Z</dcterms:modified>
</cp:coreProperties>
</file>