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882" w:rsidRPr="00AC4882" w:rsidRDefault="00AC4882" w:rsidP="00AC4882">
      <w:pPr>
        <w:spacing w:after="0" w:line="240" w:lineRule="auto"/>
        <w:jc w:val="center"/>
        <w:rPr>
          <w:rFonts w:ascii="Times New Roman" w:eastAsia="Times New Roman" w:hAnsi="Times New Roman" w:cs="Times New Roman"/>
          <w:sz w:val="25"/>
          <w:szCs w:val="25"/>
        </w:rPr>
      </w:pPr>
      <w:r w:rsidRPr="00AC4882">
        <w:rPr>
          <w:rFonts w:ascii="Times New Roman" w:eastAsia="Times New Roman" w:hAnsi="Times New Roman" w:cs="Times New Roman"/>
          <w:b/>
          <w:bCs/>
          <w:sz w:val="25"/>
          <w:szCs w:val="25"/>
        </w:rPr>
        <w:t>SUPREME COURT OF INDIA</w:t>
      </w:r>
    </w:p>
    <w:p w:rsidR="00AC4882" w:rsidRPr="00AC4882" w:rsidRDefault="00AC4882" w:rsidP="00AC4882">
      <w:pPr>
        <w:spacing w:after="0" w:line="240" w:lineRule="auto"/>
        <w:jc w:val="center"/>
        <w:rPr>
          <w:rFonts w:ascii="Times New Roman" w:eastAsia="Times New Roman" w:hAnsi="Times New Roman" w:cs="Times New Roman"/>
          <w:sz w:val="25"/>
          <w:szCs w:val="25"/>
        </w:rPr>
      </w:pPr>
    </w:p>
    <w:p w:rsidR="00AC4882" w:rsidRPr="00AC4882" w:rsidRDefault="00AC4882" w:rsidP="00AC4882">
      <w:pPr>
        <w:spacing w:after="0" w:line="240" w:lineRule="auto"/>
        <w:jc w:val="center"/>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Sachin Jana and Anr</w:t>
      </w:r>
      <w:r>
        <w:rPr>
          <w:rFonts w:ascii="Times New Roman" w:eastAsia="Times New Roman" w:hAnsi="Times New Roman" w:cs="Times New Roman"/>
          <w:sz w:val="25"/>
          <w:szCs w:val="25"/>
        </w:rPr>
        <w:t>.</w:t>
      </w:r>
    </w:p>
    <w:p w:rsidR="00AC4882" w:rsidRPr="00AC4882" w:rsidRDefault="00AC4882" w:rsidP="00AC4882">
      <w:pPr>
        <w:spacing w:after="0" w:line="240" w:lineRule="auto"/>
        <w:jc w:val="center"/>
        <w:rPr>
          <w:rFonts w:ascii="Times New Roman" w:eastAsia="Times New Roman" w:hAnsi="Times New Roman" w:cs="Times New Roman"/>
          <w:sz w:val="25"/>
          <w:szCs w:val="25"/>
        </w:rPr>
      </w:pPr>
    </w:p>
    <w:p w:rsidR="00AC4882" w:rsidRPr="00AC4882" w:rsidRDefault="00AC4882" w:rsidP="00AC4882">
      <w:pPr>
        <w:spacing w:after="0" w:line="240" w:lineRule="auto"/>
        <w:jc w:val="center"/>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Vs.</w:t>
      </w:r>
    </w:p>
    <w:p w:rsidR="00AC4882" w:rsidRPr="00AC4882" w:rsidRDefault="00AC4882" w:rsidP="00AC4882">
      <w:pPr>
        <w:spacing w:after="0" w:line="240" w:lineRule="auto"/>
        <w:jc w:val="center"/>
        <w:rPr>
          <w:rFonts w:ascii="Times New Roman" w:eastAsia="Times New Roman" w:hAnsi="Times New Roman" w:cs="Times New Roman"/>
          <w:sz w:val="25"/>
          <w:szCs w:val="25"/>
        </w:rPr>
      </w:pPr>
    </w:p>
    <w:p w:rsidR="00AC4882" w:rsidRPr="00AC4882" w:rsidRDefault="00AC4882" w:rsidP="00AC4882">
      <w:pPr>
        <w:spacing w:after="0" w:line="240" w:lineRule="auto"/>
        <w:jc w:val="center"/>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State of West Bengal</w:t>
      </w:r>
    </w:p>
    <w:p w:rsidR="00AC4882" w:rsidRPr="00AC4882" w:rsidRDefault="00AC4882" w:rsidP="00AC4882">
      <w:pPr>
        <w:spacing w:after="0" w:line="240" w:lineRule="auto"/>
        <w:jc w:val="center"/>
        <w:rPr>
          <w:rFonts w:ascii="Times New Roman" w:eastAsia="Times New Roman" w:hAnsi="Times New Roman" w:cs="Times New Roman"/>
          <w:sz w:val="25"/>
          <w:szCs w:val="25"/>
        </w:rPr>
      </w:pPr>
    </w:p>
    <w:p w:rsidR="00AC4882" w:rsidRPr="00AC4882" w:rsidRDefault="00AC4882" w:rsidP="00AC48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C4882">
        <w:rPr>
          <w:rFonts w:ascii="Times New Roman" w:eastAsia="Times New Roman" w:hAnsi="Times New Roman" w:cs="Times New Roman"/>
          <w:sz w:val="25"/>
          <w:szCs w:val="25"/>
        </w:rPr>
        <w:t>176 of 2008</w:t>
      </w:r>
    </w:p>
    <w:p w:rsidR="00AC4882" w:rsidRPr="00AC4882" w:rsidRDefault="00AC4882" w:rsidP="00AC4882">
      <w:pPr>
        <w:spacing w:after="0" w:line="240" w:lineRule="auto"/>
        <w:rPr>
          <w:rFonts w:ascii="Times New Roman" w:eastAsia="Times New Roman" w:hAnsi="Times New Roman" w:cs="Times New Roman"/>
          <w:sz w:val="25"/>
          <w:szCs w:val="25"/>
        </w:rPr>
      </w:pPr>
    </w:p>
    <w:p w:rsidR="00AC4882" w:rsidRDefault="00AC4882" w:rsidP="00AC48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4882">
        <w:rPr>
          <w:rFonts w:ascii="Times New Roman" w:eastAsia="Times New Roman" w:hAnsi="Times New Roman" w:cs="Times New Roman"/>
          <w:sz w:val="25"/>
          <w:szCs w:val="25"/>
        </w:rPr>
        <w:t xml:space="preserve"> Arijit Pasayat and P. Sathasivam JJ.)</w:t>
      </w:r>
    </w:p>
    <w:p w:rsidR="00AC4882" w:rsidRPr="00AC4882" w:rsidRDefault="00AC4882" w:rsidP="00AC4882">
      <w:pPr>
        <w:spacing w:after="0" w:line="240" w:lineRule="auto"/>
        <w:jc w:val="center"/>
        <w:rPr>
          <w:rFonts w:ascii="Times New Roman" w:eastAsia="Times New Roman" w:hAnsi="Times New Roman" w:cs="Times New Roman"/>
          <w:sz w:val="25"/>
          <w:szCs w:val="25"/>
        </w:rPr>
      </w:pPr>
    </w:p>
    <w:p w:rsidR="00AC4882" w:rsidRPr="00AC4882" w:rsidRDefault="00AC4882" w:rsidP="00AC4882">
      <w:pPr>
        <w:spacing w:after="0" w:line="240" w:lineRule="auto"/>
        <w:jc w:val="center"/>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25.01.2008</w:t>
      </w:r>
    </w:p>
    <w:p w:rsidR="00AC4882" w:rsidRPr="00AC4882" w:rsidRDefault="00AC4882" w:rsidP="00AC4882">
      <w:pPr>
        <w:spacing w:after="0" w:line="240" w:lineRule="auto"/>
        <w:jc w:val="center"/>
        <w:rPr>
          <w:rFonts w:ascii="Times New Roman" w:eastAsia="Times New Roman" w:hAnsi="Times New Roman" w:cs="Times New Roman"/>
          <w:sz w:val="25"/>
          <w:szCs w:val="25"/>
        </w:rPr>
      </w:pPr>
    </w:p>
    <w:p w:rsidR="00AC4882" w:rsidRPr="00AC4882" w:rsidRDefault="00AC4882" w:rsidP="00AC4882">
      <w:pPr>
        <w:spacing w:after="0" w:line="240" w:lineRule="auto"/>
        <w:jc w:val="center"/>
        <w:rPr>
          <w:rFonts w:ascii="Times New Roman" w:eastAsia="Times New Roman" w:hAnsi="Times New Roman" w:cs="Times New Roman"/>
          <w:sz w:val="25"/>
          <w:szCs w:val="25"/>
        </w:rPr>
      </w:pPr>
      <w:r w:rsidRPr="00AC4882">
        <w:rPr>
          <w:rFonts w:ascii="Times New Roman" w:eastAsia="Times New Roman" w:hAnsi="Times New Roman" w:cs="Times New Roman"/>
          <w:b/>
          <w:bCs/>
          <w:sz w:val="25"/>
          <w:szCs w:val="25"/>
        </w:rPr>
        <w:t>JUDGMENT</w:t>
      </w:r>
    </w:p>
    <w:p w:rsid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b/>
          <w:bCs/>
          <w:sz w:val="25"/>
          <w:szCs w:val="25"/>
        </w:rPr>
        <w:t>Arijit Pasayat, J.</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AC4882">
        <w:rPr>
          <w:rFonts w:ascii="Times New Roman" w:eastAsia="Times New Roman" w:hAnsi="Times New Roman" w:cs="Times New Roman"/>
          <w:sz w:val="25"/>
          <w:szCs w:val="25"/>
        </w:rPr>
        <w:t>Leave granted.</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AC4882">
        <w:rPr>
          <w:rFonts w:ascii="Times New Roman" w:eastAsia="Times New Roman" w:hAnsi="Times New Roman" w:cs="Times New Roman"/>
          <w:sz w:val="25"/>
          <w:szCs w:val="25"/>
        </w:rPr>
        <w:t>Challenge in this appeal is to the judgment of the Division Bench of Calcutta High Court which confirmed conviction of the appellants while directing acquittal of twelve co-accused persons. Originally, 20 persons including the present appellants faced trial for offence punishable under Sections 148, 323, 324 and 307 read with Section 149 of the Indian Penal Code, 1860 (in short ‘IPC’). After recording evidence the Trial Court acquitted six persons under Section 232 of the Code of Criminal Procedure, 1973 (in short Cr.P.C.</w:t>
      </w:r>
      <w:r w:rsidRPr="00AC4882">
        <w:rPr>
          <w:rFonts w:ascii="Times New Roman" w:eastAsia="Times New Roman" w:hAnsi="Times New Roman" w:cs="Times New Roman"/>
          <w:sz w:val="25"/>
          <w:szCs w:val="25"/>
        </w:rPr>
        <w:t xml:space="preserve">) and the rest 14 were convicted.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AC4882">
        <w:rPr>
          <w:rFonts w:ascii="Times New Roman" w:eastAsia="Times New Roman" w:hAnsi="Times New Roman" w:cs="Times New Roman"/>
          <w:sz w:val="25"/>
          <w:szCs w:val="25"/>
        </w:rPr>
        <w:t xml:space="preserve">Prosecution version in a nutshell is as follows: </w:t>
      </w:r>
    </w:p>
    <w:p w:rsidR="00AC4882" w:rsidRDefault="00AC4882" w:rsidP="00AC4882">
      <w:pPr>
        <w:spacing w:after="0" w:line="240" w:lineRule="auto"/>
        <w:jc w:val="both"/>
        <w:rPr>
          <w:rFonts w:ascii="Times New Roman" w:eastAsia="Times New Roman" w:hAnsi="Times New Roman" w:cs="Times New Roman"/>
          <w:sz w:val="25"/>
          <w:szCs w:val="25"/>
        </w:rPr>
      </w:pPr>
    </w:p>
    <w:p w:rsidR="00AC4882" w:rsidRPr="00AC4882" w:rsidRDefault="00AC4882" w:rsidP="00AC48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C4882">
        <w:rPr>
          <w:rFonts w:ascii="Times New Roman" w:eastAsia="Times New Roman" w:hAnsi="Times New Roman" w:cs="Times New Roman"/>
          <w:sz w:val="25"/>
          <w:szCs w:val="25"/>
        </w:rPr>
        <w:t>First information report was lodged by one Hrishikesh Jana on 17.1.1992, stating that on 17.1.1992 in the morning when said Hrishikesh Jana was busy in the field for cultivation of his land, the appellants under the leadership of appellant Sachin Jana forming an unlawful assembly and being armed with different weapons like bombs, sticks, knives, iron rods and bottle of acid threatened Hrishikesh Jana with dire consequences and when Hrishikesh Jana did not oblige them by leaving the work of cultivation, the accused persons started assaulting him with blows, kicks, iron rods etc. and acid was also poured on his face and body. Hrishikesh Jana alleged in his written complaint that the appellants also poured acid on one Amulya Giri and Kartick Maity and also assaulted one Sabitri Giri who came forward to save Hrishikesh Jana.  After completion of investigation charge sheet was filed.  Accused persons pleaded false implication.</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ind w:left="720"/>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lastRenderedPageBreak/>
        <w:t>In order to further its version the prosecution examined 11 witnesses including the informant Hrishikesh Jana and injured persons Amulya Giri, Kalipada Maity. The accused persons examined three persons to contend that the prosecution was not projecting the correct scenario.  The Trial Court after considering the evidence came to the conclusion that on 17th January, 1992 Sachin Jana and remaining appellants, after forming an unlawful assembly assaulted him when Amulya (PW2), Kartick (PW3) and Sachin came to rescue Hrishikesh. The accused persons shared common intention and also poured acid on the person of Amulya and assaulted.</w:t>
      </w:r>
      <w:r>
        <w:rPr>
          <w:rFonts w:ascii="Times New Roman" w:eastAsia="Times New Roman" w:hAnsi="Times New Roman" w:cs="Times New Roman"/>
          <w:sz w:val="25"/>
          <w:szCs w:val="25"/>
        </w:rPr>
        <w:t xml:space="preserve"> </w:t>
      </w:r>
      <w:r w:rsidRPr="00AC4882">
        <w:rPr>
          <w:rFonts w:ascii="Times New Roman" w:eastAsia="Times New Roman" w:hAnsi="Times New Roman" w:cs="Times New Roman"/>
          <w:sz w:val="25"/>
          <w:szCs w:val="25"/>
        </w:rPr>
        <w:t>Fourteen persons were found guilty of offence punishable under Section 307 IPC and each was sentenced to ten years imprisonment and fine of Rs.2,000/- with default stipulation. Different sentences were also imposed for the other offences.</w:t>
      </w:r>
      <w:r>
        <w:rPr>
          <w:rFonts w:ascii="Times New Roman" w:eastAsia="Times New Roman" w:hAnsi="Times New Roman" w:cs="Times New Roman"/>
          <w:sz w:val="25"/>
          <w:szCs w:val="25"/>
        </w:rPr>
        <w:t>”</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AC4882">
        <w:rPr>
          <w:rFonts w:ascii="Times New Roman" w:eastAsia="Times New Roman" w:hAnsi="Times New Roman" w:cs="Times New Roman"/>
          <w:sz w:val="25"/>
          <w:szCs w:val="25"/>
        </w:rPr>
        <w:t>The Trial Court primarily relied on the evidence of PWs. 1, 2 and 3 who were claimed to be victims of acid pouring. The High Court in appeal found that the evidence of PWs. 1, 2 and 3 clearly established the guilt of the appellants, but was not sufficient to convict the 12 co-accused persons. Accordingly, the appeal so far it relates to the present appellants was dismissed. But the conviction was altered to Section 307/34 IPC.</w:t>
      </w:r>
      <w:r>
        <w:rPr>
          <w:rFonts w:ascii="Times New Roman" w:eastAsia="Times New Roman" w:hAnsi="Times New Roman" w:cs="Times New Roman"/>
          <w:sz w:val="25"/>
          <w:szCs w:val="25"/>
        </w:rPr>
        <w:t xml:space="preserve"> </w:t>
      </w:r>
      <w:r w:rsidRPr="00AC4882">
        <w:rPr>
          <w:rFonts w:ascii="Times New Roman" w:eastAsia="Times New Roman" w:hAnsi="Times New Roman" w:cs="Times New Roman"/>
          <w:sz w:val="25"/>
          <w:szCs w:val="25"/>
        </w:rPr>
        <w:t>In support of the appeal, learned counsel for the appellants submitted that the case was one of false implication. In any event, offence under Section 307 IPC is not made out and the sentence as imposed is clearly excessive.</w:t>
      </w:r>
      <w:r>
        <w:rPr>
          <w:rFonts w:ascii="Times New Roman" w:eastAsia="Times New Roman" w:hAnsi="Times New Roman" w:cs="Times New Roman"/>
          <w:sz w:val="25"/>
          <w:szCs w:val="25"/>
        </w:rPr>
        <w:t xml:space="preserve"> </w:t>
      </w:r>
      <w:r w:rsidRPr="00AC4882">
        <w:rPr>
          <w:rFonts w:ascii="Times New Roman" w:eastAsia="Times New Roman" w:hAnsi="Times New Roman" w:cs="Times New Roman"/>
          <w:sz w:val="25"/>
          <w:szCs w:val="25"/>
        </w:rPr>
        <w:t xml:space="preserve">It is also submitted that Section 34 IPC has no application.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AC4882">
        <w:rPr>
          <w:rFonts w:ascii="Times New Roman" w:eastAsia="Times New Roman" w:hAnsi="Times New Roman" w:cs="Times New Roman"/>
          <w:sz w:val="25"/>
          <w:szCs w:val="25"/>
        </w:rPr>
        <w:t xml:space="preserve">It is to be noted that three persons suffered injuries on account of acid poured on them.  The doctor had indicated that each of the injured persons suffered more than 50% burn injury which was caused due to acid and the same was sufficient to cause death if not attended by medical aid at appropriate time. 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available and, therefore, such intention can only be inferred from the circumstances appearing from the proved facts of the case and the proved circumstances. In order to bring home the charge of common intention, the prosecution has to establish by evidence, whether direct or circumstantial, that there was plan or meeting of minds of all the accused persons to commit the offence for which they are charged with the aid of Section 34, be it pre-arranged or on the spur of the moment; but it must necessarily be before the commission of the crime. The true concept of the section is that if two or more persons intentionally do an act jointly, the position in law is just the same as if each of them has done it individually by himself. As observed in </w:t>
      </w:r>
      <w:r w:rsidRPr="00AC4882">
        <w:rPr>
          <w:rFonts w:ascii="Times New Roman" w:eastAsia="Times New Roman" w:hAnsi="Times New Roman" w:cs="Times New Roman"/>
          <w:i/>
          <w:sz w:val="25"/>
          <w:szCs w:val="25"/>
        </w:rPr>
        <w:t>Ashok Kumar v. State of Punjab</w:t>
      </w:r>
      <w:r w:rsidRPr="00AC4882">
        <w:rPr>
          <w:rFonts w:ascii="Times New Roman" w:eastAsia="Times New Roman" w:hAnsi="Times New Roman" w:cs="Times New Roman"/>
          <w:i/>
          <w:sz w:val="25"/>
          <w:szCs w:val="25"/>
          <w:vertAlign w:val="superscript"/>
        </w:rPr>
        <w:t>1</w:t>
      </w:r>
      <w:r>
        <w:rPr>
          <w:rFonts w:ascii="Times New Roman" w:eastAsia="Times New Roman" w:hAnsi="Times New Roman" w:cs="Times New Roman"/>
          <w:i/>
          <w:sz w:val="25"/>
          <w:szCs w:val="25"/>
        </w:rPr>
        <w:t xml:space="preserve"> </w:t>
      </w:r>
      <w:r w:rsidRPr="00AC4882">
        <w:rPr>
          <w:rFonts w:ascii="Times New Roman" w:eastAsia="Times New Roman" w:hAnsi="Times New Roman" w:cs="Times New Roman"/>
          <w:sz w:val="25"/>
          <w:szCs w:val="25"/>
        </w:rPr>
        <w:t xml:space="preserve">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Pr="00AC4882">
        <w:rPr>
          <w:rFonts w:ascii="Times New Roman" w:eastAsia="Times New Roman" w:hAnsi="Times New Roman" w:cs="Times New Roman"/>
          <w:sz w:val="25"/>
          <w:szCs w:val="25"/>
        </w:rPr>
        <w:t xml:space="preserve">The section does not say ‘the common intentions of all’, nor does it say ‘an intention common to all’. Under the provisions of Section 34 the essence of the liability is to be found in the existence of a common intention animating the accused leading to the doing of a criminal act in furtherance of such intention. As a result of the application of principles enunciated in Section 34, when an accused is convicted under Section 302 read with Section 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As was observed in </w:t>
      </w:r>
      <w:r w:rsidRPr="00AC4882">
        <w:rPr>
          <w:rFonts w:ascii="Times New Roman" w:eastAsia="Times New Roman" w:hAnsi="Times New Roman" w:cs="Times New Roman"/>
          <w:i/>
          <w:sz w:val="25"/>
          <w:szCs w:val="25"/>
        </w:rPr>
        <w:t>Chinta Pulla Reddy v. State of A.P</w:t>
      </w:r>
      <w:r w:rsidRPr="00AC4882">
        <w:rPr>
          <w:rFonts w:ascii="Times New Roman" w:eastAsia="Times New Roman" w:hAnsi="Times New Roman" w:cs="Times New Roman"/>
          <w:i/>
          <w:sz w:val="25"/>
          <w:szCs w:val="25"/>
          <w:vertAlign w:val="superscript"/>
        </w:rPr>
        <w:t>2</w:t>
      </w:r>
      <w:r w:rsidRPr="00AC4882">
        <w:rPr>
          <w:rFonts w:ascii="Times New Roman" w:eastAsia="Times New Roman" w:hAnsi="Times New Roman" w:cs="Times New Roman"/>
          <w:i/>
          <w:sz w:val="25"/>
          <w:szCs w:val="25"/>
        </w:rPr>
        <w:t xml:space="preserve">. </w:t>
      </w:r>
      <w:r w:rsidRPr="00AC4882">
        <w:rPr>
          <w:rFonts w:ascii="Times New Roman" w:eastAsia="Times New Roman" w:hAnsi="Times New Roman" w:cs="Times New Roman"/>
          <w:sz w:val="25"/>
          <w:szCs w:val="25"/>
        </w:rPr>
        <w:t xml:space="preserve">Section 34 is applicable even if no injury has been caused by the particular accused himself. For applying Section 34 it is not necessary to show some overt act on the part of the accused.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AC4882">
        <w:rPr>
          <w:rFonts w:ascii="Times New Roman" w:eastAsia="Times New Roman" w:hAnsi="Times New Roman" w:cs="Times New Roman"/>
          <w:sz w:val="25"/>
          <w:szCs w:val="25"/>
        </w:rPr>
        <w:t xml:space="preserve">The above position was highlighted in </w:t>
      </w:r>
      <w:r>
        <w:rPr>
          <w:rFonts w:ascii="Times New Roman" w:eastAsia="Times New Roman" w:hAnsi="Times New Roman" w:cs="Times New Roman"/>
          <w:i/>
          <w:sz w:val="25"/>
          <w:szCs w:val="25"/>
        </w:rPr>
        <w:t>Girija Shankar vs. State of U.P</w:t>
      </w:r>
      <w:r w:rsidRPr="00AC4882">
        <w:rPr>
          <w:rFonts w:ascii="Times New Roman" w:eastAsia="Times New Roman" w:hAnsi="Times New Roman" w:cs="Times New Roman"/>
          <w:i/>
          <w:sz w:val="25"/>
          <w:szCs w:val="25"/>
        </w:rPr>
        <w:t>)</w:t>
      </w:r>
      <w:r w:rsidRPr="00AC4882">
        <w:rPr>
          <w:rFonts w:ascii="Times New Roman" w:eastAsia="Times New Roman" w:hAnsi="Times New Roman" w:cs="Times New Roman"/>
          <w:sz w:val="25"/>
          <w:szCs w:val="25"/>
          <w:vertAlign w:val="superscript"/>
        </w:rPr>
        <w:t>3</w:t>
      </w:r>
      <w:r>
        <w:rPr>
          <w:rFonts w:ascii="Times New Roman" w:eastAsia="Times New Roman" w:hAnsi="Times New Roman" w:cs="Times New Roman"/>
          <w:sz w:val="25"/>
          <w:szCs w:val="25"/>
        </w:rPr>
        <w:t xml:space="preserve"> </w:t>
      </w:r>
      <w:r w:rsidRPr="00AC4882">
        <w:rPr>
          <w:rFonts w:ascii="Times New Roman" w:eastAsia="Times New Roman" w:hAnsi="Times New Roman" w:cs="Times New Roman"/>
          <w:sz w:val="25"/>
          <w:szCs w:val="25"/>
        </w:rPr>
        <w:t>Section 307 IPC reads:</w:t>
      </w:r>
    </w:p>
    <w:p w:rsidR="00AC4882" w:rsidRDefault="00AC4882" w:rsidP="00AC4882">
      <w:pPr>
        <w:spacing w:after="0" w:line="240" w:lineRule="auto"/>
        <w:ind w:left="720"/>
        <w:jc w:val="both"/>
        <w:rPr>
          <w:rFonts w:ascii="Times New Roman" w:eastAsia="Times New Roman" w:hAnsi="Times New Roman" w:cs="Times New Roman"/>
          <w:sz w:val="25"/>
          <w:szCs w:val="25"/>
        </w:rPr>
      </w:pPr>
    </w:p>
    <w:p w:rsidR="00AC4882" w:rsidRPr="00AC4882" w:rsidRDefault="00AC4882" w:rsidP="00AC4882">
      <w:pPr>
        <w:spacing w:after="0" w:line="240" w:lineRule="auto"/>
        <w:ind w:left="720"/>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“307. Whoever does any act with such intention or knowledge, and under such circumstances that, if he by that act caused death, he would be guilty of murder, shall be punished with imprisonment of either description for a term which may extend to ten years, and shall also be liable to fine; and if hurt is caused to any person by such act, the offender shall be liable either to imprisonment for life, or to such punishment as is hereinbefore mentioned.”</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AC4882">
        <w:rPr>
          <w:rFonts w:ascii="Times New Roman" w:eastAsia="Times New Roman" w:hAnsi="Times New Roman" w:cs="Times New Roman"/>
          <w:sz w:val="25"/>
          <w:szCs w:val="25"/>
        </w:rPr>
        <w:t xml:space="preserve">To justify a conviction under this section, it is not essential that bodily injury capable of causing death should have been inflicted. Although the nature of injury actually caused may often give considerable assistance in coming to a finding as to the intention of the accused, such intention may also be deduced from other circumstances, and may even, in some cases, be ascertained without any reference at all to actual wounds. The section makes a distinction between an act of the accused and its result, if any. Such an act may not be attended by any result so far as the person assaulted is concerned, but still there may be cases in which the culprit would be liable under this section. It is not necessary that the injury actually caused to the victim of the assault should be sufficient under ordinary circumstances to cause the death of the person assaulted. What the court has to see is whether the act, irrespective of its result, was done with the intention or knowledge and under circumstances mentioned in the section. An attempt in order to be criminal need not be the penultimate act. It is sufficient in law, if there is present an intent coupled with some overt act in execution thereof. 14. This position was highlighted in </w:t>
      </w:r>
      <w:r w:rsidRPr="00AC4882">
        <w:rPr>
          <w:rFonts w:ascii="Times New Roman" w:eastAsia="Times New Roman" w:hAnsi="Times New Roman" w:cs="Times New Roman"/>
          <w:i/>
          <w:sz w:val="25"/>
          <w:szCs w:val="25"/>
        </w:rPr>
        <w:t>State of Maharashtra v. Balram Bama Patil</w:t>
      </w:r>
      <w:r w:rsidRPr="00AC4882">
        <w:rPr>
          <w:rFonts w:ascii="Times New Roman" w:eastAsia="Times New Roman" w:hAnsi="Times New Roman" w:cs="Times New Roman"/>
          <w:i/>
          <w:sz w:val="25"/>
          <w:szCs w:val="25"/>
          <w:vertAlign w:val="superscript"/>
        </w:rPr>
        <w:t>4</w:t>
      </w:r>
      <w:r w:rsidRPr="00AC4882">
        <w:rPr>
          <w:rFonts w:ascii="Times New Roman" w:eastAsia="Times New Roman" w:hAnsi="Times New Roman" w:cs="Times New Roman"/>
          <w:i/>
          <w:sz w:val="25"/>
          <w:szCs w:val="25"/>
        </w:rPr>
        <w:t xml:space="preserve">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sidRPr="00AC4882">
        <w:rPr>
          <w:rFonts w:ascii="Times New Roman" w:eastAsia="Times New Roman" w:hAnsi="Times New Roman" w:cs="Times New Roman"/>
          <w:sz w:val="25"/>
          <w:szCs w:val="25"/>
        </w:rPr>
        <w:t> </w:t>
      </w: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AC4882">
        <w:rPr>
          <w:rFonts w:ascii="Times New Roman" w:eastAsia="Times New Roman" w:hAnsi="Times New Roman" w:cs="Times New Roman"/>
          <w:sz w:val="25"/>
          <w:szCs w:val="25"/>
        </w:rPr>
        <w:t>When the evidence on record is analysed, it is clear that Section 307 read with Section 34 IPC has clear application. The acid burns caused disfigurement.</w:t>
      </w:r>
    </w:p>
    <w:p w:rsidR="00AC4882" w:rsidRPr="00AC4882" w:rsidRDefault="00AC4882" w:rsidP="00AC4882">
      <w:pPr>
        <w:spacing w:after="0" w:line="240" w:lineRule="auto"/>
        <w:jc w:val="both"/>
        <w:rPr>
          <w:rFonts w:ascii="Times New Roman" w:eastAsia="Times New Roman" w:hAnsi="Times New Roman" w:cs="Times New Roman"/>
          <w:sz w:val="25"/>
          <w:szCs w:val="25"/>
        </w:rPr>
      </w:pPr>
    </w:p>
    <w:p w:rsidR="00AC4882" w:rsidRPr="00AC4882" w:rsidRDefault="00AC4882" w:rsidP="00AC488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AC4882">
        <w:rPr>
          <w:rFonts w:ascii="Times New Roman" w:eastAsia="Times New Roman" w:hAnsi="Times New Roman" w:cs="Times New Roman"/>
          <w:sz w:val="25"/>
          <w:szCs w:val="25"/>
        </w:rPr>
        <w:t xml:space="preserve">Considering the nature of dispute the custodial sentence is reduced to 5 years.  However, each of the appellants is directed to pay a fine of Rs.25,000/-. If the amount is deposited by the appellants within six weeks from today, out of each deposit, Rs.10,000/- shall be paid to </w:t>
      </w:r>
      <w:r w:rsidRPr="00AC4882">
        <w:rPr>
          <w:rFonts w:ascii="Times New Roman" w:eastAsia="Times New Roman" w:hAnsi="Times New Roman" w:cs="Times New Roman"/>
          <w:sz w:val="25"/>
          <w:szCs w:val="25"/>
        </w:rPr>
        <w:lastRenderedPageBreak/>
        <w:t xml:space="preserve">each of the victims PWs. 1, 2 and 3. In case the amount of fine imposed is not deposited, the default custodial sentence of one year each. The appeal is disposed of accordingly.           </w:t>
      </w:r>
    </w:p>
    <w:p w:rsidR="006B03EA" w:rsidRDefault="006B03EA" w:rsidP="00AC4882">
      <w:pPr>
        <w:spacing w:after="0" w:line="240" w:lineRule="auto"/>
        <w:jc w:val="both"/>
        <w:rPr>
          <w:rFonts w:ascii="Times New Roman" w:hAnsi="Times New Roman" w:cs="Times New Roman"/>
          <w:sz w:val="25"/>
          <w:szCs w:val="25"/>
        </w:rPr>
      </w:pPr>
    </w:p>
    <w:p w:rsidR="00AC4882" w:rsidRDefault="00AC4882" w:rsidP="00AC4882">
      <w:pPr>
        <w:spacing w:after="0" w:line="240" w:lineRule="auto"/>
        <w:jc w:val="both"/>
        <w:rPr>
          <w:rFonts w:ascii="Times New Roman" w:hAnsi="Times New Roman" w:cs="Times New Roman"/>
          <w:sz w:val="25"/>
          <w:szCs w:val="25"/>
        </w:rPr>
      </w:pPr>
    </w:p>
    <w:p w:rsidR="00AC4882" w:rsidRPr="00AC4882" w:rsidRDefault="00AC4882" w:rsidP="00AC4882">
      <w:pPr>
        <w:spacing w:after="0" w:line="240" w:lineRule="auto"/>
        <w:jc w:val="both"/>
        <w:rPr>
          <w:rFonts w:ascii="Times New Roman" w:hAnsi="Times New Roman" w:cs="Times New Roman"/>
          <w:i/>
        </w:rPr>
      </w:pPr>
      <w:r w:rsidRPr="00AC4882">
        <w:rPr>
          <w:rFonts w:ascii="Times New Roman" w:hAnsi="Times New Roman" w:cs="Times New Roman"/>
          <w:i/>
        </w:rPr>
        <w:t xml:space="preserve">Cases Referred </w:t>
      </w:r>
    </w:p>
    <w:p w:rsidR="00AC4882" w:rsidRDefault="00AC4882" w:rsidP="00AC4882">
      <w:pPr>
        <w:spacing w:after="0" w:line="240" w:lineRule="auto"/>
        <w:jc w:val="both"/>
        <w:rPr>
          <w:rFonts w:ascii="Times New Roman" w:hAnsi="Times New Roman" w:cs="Times New Roman"/>
          <w:i/>
          <w:sz w:val="25"/>
          <w:szCs w:val="25"/>
        </w:rPr>
      </w:pPr>
    </w:p>
    <w:p w:rsidR="00AC4882" w:rsidRPr="00AC4882" w:rsidRDefault="00AC4882" w:rsidP="00AC4882">
      <w:pPr>
        <w:spacing w:after="0" w:line="240" w:lineRule="auto"/>
        <w:jc w:val="both"/>
        <w:rPr>
          <w:rFonts w:ascii="Times New Roman" w:eastAsia="Times New Roman" w:hAnsi="Times New Roman" w:cs="Times New Roman"/>
          <w:i/>
          <w:sz w:val="20"/>
          <w:szCs w:val="20"/>
        </w:rPr>
      </w:pPr>
      <w:r w:rsidRPr="00AC4882">
        <w:rPr>
          <w:rFonts w:ascii="Times New Roman" w:eastAsia="Times New Roman" w:hAnsi="Times New Roman" w:cs="Times New Roman"/>
          <w:i/>
          <w:sz w:val="20"/>
          <w:szCs w:val="20"/>
          <w:vertAlign w:val="superscript"/>
        </w:rPr>
        <w:t>1</w:t>
      </w:r>
      <w:r w:rsidRPr="00AC4882">
        <w:rPr>
          <w:rFonts w:ascii="Times New Roman" w:eastAsia="Times New Roman" w:hAnsi="Times New Roman" w:cs="Times New Roman"/>
          <w:i/>
          <w:sz w:val="20"/>
          <w:szCs w:val="20"/>
        </w:rPr>
        <w:t>1977) 1 SCC 0746)</w:t>
      </w:r>
    </w:p>
    <w:p w:rsidR="00AC4882" w:rsidRPr="00AC4882" w:rsidRDefault="00AC4882" w:rsidP="00AC4882">
      <w:pPr>
        <w:spacing w:after="0" w:line="240" w:lineRule="auto"/>
        <w:jc w:val="both"/>
        <w:rPr>
          <w:rFonts w:ascii="Times New Roman" w:eastAsia="Times New Roman" w:hAnsi="Times New Roman" w:cs="Times New Roman"/>
          <w:i/>
          <w:sz w:val="20"/>
          <w:szCs w:val="20"/>
        </w:rPr>
      </w:pPr>
      <w:r w:rsidRPr="00AC4882">
        <w:rPr>
          <w:rFonts w:ascii="Times New Roman" w:eastAsia="Times New Roman" w:hAnsi="Times New Roman" w:cs="Times New Roman"/>
          <w:i/>
          <w:sz w:val="20"/>
          <w:szCs w:val="20"/>
          <w:vertAlign w:val="superscript"/>
        </w:rPr>
        <w:t>2</w:t>
      </w:r>
      <w:r w:rsidRPr="00AC4882">
        <w:rPr>
          <w:rFonts w:ascii="Times New Roman" w:eastAsia="Times New Roman" w:hAnsi="Times New Roman" w:cs="Times New Roman"/>
          <w:i/>
          <w:sz w:val="20"/>
          <w:szCs w:val="20"/>
        </w:rPr>
        <w:t>(1993 0003</w:t>
      </w:r>
    </w:p>
    <w:p w:rsidR="00AC4882" w:rsidRPr="00AC4882" w:rsidRDefault="00AC4882" w:rsidP="00AC4882">
      <w:pPr>
        <w:spacing w:after="0" w:line="240" w:lineRule="auto"/>
        <w:jc w:val="both"/>
        <w:rPr>
          <w:rFonts w:ascii="Times New Roman" w:eastAsia="Times New Roman" w:hAnsi="Times New Roman" w:cs="Times New Roman"/>
          <w:i/>
          <w:sz w:val="20"/>
          <w:szCs w:val="20"/>
        </w:rPr>
      </w:pPr>
      <w:r w:rsidRPr="00AC4882">
        <w:rPr>
          <w:rFonts w:ascii="Times New Roman" w:eastAsia="Times New Roman" w:hAnsi="Times New Roman" w:cs="Times New Roman"/>
          <w:i/>
          <w:sz w:val="20"/>
          <w:szCs w:val="20"/>
          <w:vertAlign w:val="superscript"/>
        </w:rPr>
        <w:t>3</w:t>
      </w:r>
      <w:r w:rsidRPr="00AC4882">
        <w:rPr>
          <w:rFonts w:ascii="Times New Roman" w:eastAsia="Times New Roman" w:hAnsi="Times New Roman" w:cs="Times New Roman"/>
          <w:i/>
          <w:sz w:val="20"/>
          <w:szCs w:val="20"/>
        </w:rPr>
        <w:t>2004 4 SCC 0793</w:t>
      </w:r>
    </w:p>
    <w:p w:rsidR="00AC4882" w:rsidRPr="00AC4882" w:rsidRDefault="00AC4882" w:rsidP="00AC4882">
      <w:pPr>
        <w:spacing w:after="0" w:line="240" w:lineRule="auto"/>
        <w:jc w:val="both"/>
        <w:rPr>
          <w:rFonts w:ascii="Times New Roman" w:eastAsia="Times New Roman" w:hAnsi="Times New Roman" w:cs="Times New Roman"/>
          <w:sz w:val="20"/>
          <w:szCs w:val="20"/>
        </w:rPr>
      </w:pPr>
      <w:r w:rsidRPr="00AC4882">
        <w:rPr>
          <w:rFonts w:ascii="Times New Roman" w:eastAsia="Times New Roman" w:hAnsi="Times New Roman" w:cs="Times New Roman"/>
          <w:i/>
          <w:sz w:val="20"/>
          <w:szCs w:val="20"/>
          <w:vertAlign w:val="superscript"/>
        </w:rPr>
        <w:t>4</w:t>
      </w:r>
      <w:r w:rsidRPr="00AC4882">
        <w:rPr>
          <w:rFonts w:ascii="Times New Roman" w:eastAsia="Times New Roman" w:hAnsi="Times New Roman" w:cs="Times New Roman"/>
          <w:i/>
          <w:sz w:val="20"/>
          <w:szCs w:val="20"/>
        </w:rPr>
        <w:t>(1983 (2) SCC 28)</w:t>
      </w:r>
    </w:p>
    <w:p w:rsidR="00AC4882" w:rsidRPr="00AC4882" w:rsidRDefault="00AC4882" w:rsidP="00AC4882">
      <w:pPr>
        <w:spacing w:after="0" w:line="240" w:lineRule="auto"/>
        <w:jc w:val="both"/>
        <w:rPr>
          <w:rFonts w:ascii="Times New Roman" w:hAnsi="Times New Roman" w:cs="Times New Roman"/>
          <w:i/>
          <w:sz w:val="25"/>
          <w:szCs w:val="25"/>
        </w:rPr>
      </w:pPr>
    </w:p>
    <w:sectPr w:rsidR="00AC4882" w:rsidRPr="00AC4882" w:rsidSect="00AC488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9E" w:rsidRDefault="00BC4C9E" w:rsidP="00AC4882">
      <w:pPr>
        <w:spacing w:after="0" w:line="240" w:lineRule="auto"/>
      </w:pPr>
      <w:r>
        <w:separator/>
      </w:r>
    </w:p>
  </w:endnote>
  <w:endnote w:type="continuationSeparator" w:id="1">
    <w:p w:rsidR="00BC4C9E" w:rsidRDefault="00BC4C9E" w:rsidP="00AC4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42792"/>
      <w:docPartObj>
        <w:docPartGallery w:val="Page Numbers (Bottom of Page)"/>
        <w:docPartUnique/>
      </w:docPartObj>
    </w:sdtPr>
    <w:sdtContent>
      <w:p w:rsidR="00AC4882" w:rsidRPr="00AC4882" w:rsidRDefault="00AC4882">
        <w:pPr>
          <w:pStyle w:val="Footer"/>
          <w:jc w:val="center"/>
          <w:rPr>
            <w:rFonts w:ascii="Times New Roman" w:hAnsi="Times New Roman" w:cs="Times New Roman"/>
          </w:rPr>
        </w:pPr>
        <w:r w:rsidRPr="00AC4882">
          <w:rPr>
            <w:rFonts w:ascii="Times New Roman" w:hAnsi="Times New Roman" w:cs="Times New Roman"/>
          </w:rPr>
          <w:t xml:space="preserve">                                                        </w:t>
        </w:r>
        <w:r>
          <w:rPr>
            <w:rFonts w:ascii="Times New Roman" w:hAnsi="Times New Roman" w:cs="Times New Roman"/>
          </w:rPr>
          <w:t xml:space="preserve">            </w:t>
        </w:r>
        <w:r w:rsidRPr="00AC4882">
          <w:rPr>
            <w:rFonts w:ascii="Times New Roman" w:hAnsi="Times New Roman" w:cs="Times New Roman"/>
          </w:rPr>
          <w:t xml:space="preserve">  </w:t>
        </w:r>
        <w:r w:rsidRPr="00AC4882">
          <w:rPr>
            <w:rFonts w:ascii="Times New Roman" w:hAnsi="Times New Roman" w:cs="Times New Roman"/>
          </w:rPr>
          <w:fldChar w:fldCharType="begin"/>
        </w:r>
        <w:r w:rsidRPr="00AC4882">
          <w:rPr>
            <w:rFonts w:ascii="Times New Roman" w:hAnsi="Times New Roman" w:cs="Times New Roman"/>
          </w:rPr>
          <w:instrText xml:space="preserve"> PAGE   \* MERGEFORMAT </w:instrText>
        </w:r>
        <w:r w:rsidRPr="00AC4882">
          <w:rPr>
            <w:rFonts w:ascii="Times New Roman" w:hAnsi="Times New Roman" w:cs="Times New Roman"/>
          </w:rPr>
          <w:fldChar w:fldCharType="separate"/>
        </w:r>
        <w:r>
          <w:rPr>
            <w:rFonts w:ascii="Times New Roman" w:hAnsi="Times New Roman" w:cs="Times New Roman"/>
            <w:noProof/>
          </w:rPr>
          <w:t>1</w:t>
        </w:r>
        <w:r w:rsidRPr="00AC4882">
          <w:rPr>
            <w:rFonts w:ascii="Times New Roman" w:hAnsi="Times New Roman" w:cs="Times New Roman"/>
          </w:rPr>
          <w:fldChar w:fldCharType="end"/>
        </w:r>
        <w:r w:rsidRPr="00AC4882">
          <w:rPr>
            <w:rFonts w:ascii="Times New Roman" w:hAnsi="Times New Roman" w:cs="Times New Roman"/>
          </w:rPr>
          <w:t>.                                                                         SpotLaw</w:t>
        </w:r>
      </w:p>
    </w:sdtContent>
  </w:sdt>
  <w:p w:rsidR="00AC4882" w:rsidRPr="00AC4882" w:rsidRDefault="00AC4882">
    <w:pPr>
      <w:pStyle w:val="Footer"/>
      <w:rPr>
        <w:rFonts w:ascii="Times New Roman" w:hAnsi="Times New Roman" w:cs="Times New Roman"/>
      </w:rPr>
    </w:pPr>
    <w:r w:rsidRPr="00AC4882">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9E" w:rsidRDefault="00BC4C9E" w:rsidP="00AC4882">
      <w:pPr>
        <w:spacing w:after="0" w:line="240" w:lineRule="auto"/>
      </w:pPr>
      <w:r>
        <w:separator/>
      </w:r>
    </w:p>
  </w:footnote>
  <w:footnote w:type="continuationSeparator" w:id="1">
    <w:p w:rsidR="00BC4C9E" w:rsidRDefault="00BC4C9E" w:rsidP="00AC48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C4882"/>
    <w:rsid w:val="006B03EA"/>
    <w:rsid w:val="00AC4882"/>
    <w:rsid w:val="00BC4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3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882"/>
    <w:pPr>
      <w:ind w:left="720"/>
      <w:contextualSpacing/>
    </w:pPr>
  </w:style>
  <w:style w:type="paragraph" w:styleId="Header">
    <w:name w:val="header"/>
    <w:basedOn w:val="Normal"/>
    <w:link w:val="HeaderChar"/>
    <w:uiPriority w:val="99"/>
    <w:semiHidden/>
    <w:unhideWhenUsed/>
    <w:rsid w:val="00AC4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4882"/>
  </w:style>
  <w:style w:type="paragraph" w:styleId="Footer">
    <w:name w:val="footer"/>
    <w:basedOn w:val="Normal"/>
    <w:link w:val="FooterChar"/>
    <w:uiPriority w:val="99"/>
    <w:unhideWhenUsed/>
    <w:rsid w:val="00AC4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82"/>
  </w:style>
</w:styles>
</file>

<file path=word/webSettings.xml><?xml version="1.0" encoding="utf-8"?>
<w:webSettings xmlns:r="http://schemas.openxmlformats.org/officeDocument/2006/relationships" xmlns:w="http://schemas.openxmlformats.org/wordprocessingml/2006/main">
  <w:divs>
    <w:div w:id="1463385229">
      <w:bodyDiv w:val="1"/>
      <w:marLeft w:val="0"/>
      <w:marRight w:val="0"/>
      <w:marTop w:val="0"/>
      <w:marBottom w:val="0"/>
      <w:divBdr>
        <w:top w:val="none" w:sz="0" w:space="0" w:color="auto"/>
        <w:left w:val="none" w:sz="0" w:space="0" w:color="auto"/>
        <w:bottom w:val="none" w:sz="0" w:space="0" w:color="auto"/>
        <w:right w:val="none" w:sz="0" w:space="0" w:color="auto"/>
      </w:divBdr>
      <w:divsChild>
        <w:div w:id="918832228">
          <w:marLeft w:val="0"/>
          <w:marRight w:val="0"/>
          <w:marTop w:val="0"/>
          <w:marBottom w:val="0"/>
          <w:divBdr>
            <w:top w:val="none" w:sz="0" w:space="0" w:color="auto"/>
            <w:left w:val="none" w:sz="0" w:space="0" w:color="auto"/>
            <w:bottom w:val="none" w:sz="0" w:space="0" w:color="auto"/>
            <w:right w:val="none" w:sz="0" w:space="0" w:color="auto"/>
          </w:divBdr>
          <w:divsChild>
            <w:div w:id="16297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2015-11-26T10:55:00Z</dcterms:created>
  <dcterms:modified xsi:type="dcterms:W3CDTF">2015-11-26T11:04:00Z</dcterms:modified>
</cp:coreProperties>
</file>