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558" w:rsidRDefault="002E5558" w:rsidP="002E5558">
      <w:pPr>
        <w:spacing w:after="0" w:line="240" w:lineRule="auto"/>
        <w:jc w:val="center"/>
        <w:rPr>
          <w:rFonts w:ascii="Times New Roman" w:hAnsi="Times New Roman" w:cs="Times New Roman"/>
          <w:b/>
          <w:sz w:val="25"/>
          <w:szCs w:val="25"/>
        </w:rPr>
      </w:pPr>
      <w:r w:rsidRPr="002E5558">
        <w:rPr>
          <w:rFonts w:ascii="Times New Roman" w:hAnsi="Times New Roman" w:cs="Times New Roman"/>
          <w:b/>
          <w:sz w:val="25"/>
          <w:szCs w:val="25"/>
        </w:rPr>
        <w:t>SUPREME COURT OF INDIA</w:t>
      </w:r>
    </w:p>
    <w:p w:rsidR="002E5558" w:rsidRPr="002E5558" w:rsidRDefault="002E5558" w:rsidP="002E5558">
      <w:pPr>
        <w:spacing w:after="0" w:line="240" w:lineRule="auto"/>
        <w:jc w:val="center"/>
        <w:rPr>
          <w:rFonts w:ascii="Times New Roman" w:hAnsi="Times New Roman" w:cs="Times New Roman"/>
          <w:b/>
          <w:sz w:val="25"/>
          <w:szCs w:val="25"/>
        </w:rPr>
      </w:pPr>
    </w:p>
    <w:p w:rsidR="002E5558" w:rsidRDefault="002E5558" w:rsidP="002E555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of Orissa &amp; Anr.</w:t>
      </w:r>
    </w:p>
    <w:p w:rsidR="002E5558" w:rsidRDefault="002E5558" w:rsidP="002E5558">
      <w:pPr>
        <w:spacing w:after="0" w:line="240" w:lineRule="auto"/>
        <w:jc w:val="center"/>
        <w:rPr>
          <w:rFonts w:ascii="Times New Roman" w:hAnsi="Times New Roman" w:cs="Times New Roman"/>
          <w:sz w:val="25"/>
          <w:szCs w:val="25"/>
        </w:rPr>
      </w:pPr>
    </w:p>
    <w:p w:rsidR="002E5558" w:rsidRDefault="002E5558" w:rsidP="002E555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E5558" w:rsidRDefault="002E5558" w:rsidP="002E5558">
      <w:pPr>
        <w:spacing w:after="0" w:line="240" w:lineRule="auto"/>
        <w:jc w:val="center"/>
        <w:rPr>
          <w:rFonts w:ascii="Times New Roman" w:hAnsi="Times New Roman" w:cs="Times New Roman"/>
          <w:sz w:val="25"/>
          <w:szCs w:val="25"/>
        </w:rPr>
      </w:pPr>
    </w:p>
    <w:p w:rsidR="002E5558" w:rsidRDefault="002E5558" w:rsidP="002E555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Abhaya Kumar Das &amp; Ors.</w:t>
      </w:r>
    </w:p>
    <w:p w:rsidR="002E5558" w:rsidRDefault="002E5558" w:rsidP="002E5558">
      <w:pPr>
        <w:spacing w:after="0" w:line="240" w:lineRule="auto"/>
        <w:jc w:val="center"/>
        <w:rPr>
          <w:rFonts w:ascii="Times New Roman" w:hAnsi="Times New Roman" w:cs="Times New Roman"/>
          <w:sz w:val="25"/>
          <w:szCs w:val="25"/>
        </w:rPr>
      </w:pPr>
    </w:p>
    <w:p w:rsidR="002E5558" w:rsidRDefault="002E5558" w:rsidP="002E555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2E5558">
        <w:rPr>
          <w:rFonts w:ascii="Times New Roman" w:hAnsi="Times New Roman" w:cs="Times New Roman"/>
          <w:sz w:val="25"/>
          <w:szCs w:val="25"/>
        </w:rPr>
        <w:t>2151-2154 of 2002</w:t>
      </w:r>
    </w:p>
    <w:p w:rsidR="002E5558" w:rsidRDefault="002E5558" w:rsidP="002E5558">
      <w:pPr>
        <w:spacing w:after="0" w:line="240" w:lineRule="auto"/>
        <w:jc w:val="center"/>
        <w:rPr>
          <w:rFonts w:ascii="Times New Roman" w:hAnsi="Times New Roman" w:cs="Times New Roman"/>
          <w:sz w:val="25"/>
          <w:szCs w:val="25"/>
        </w:rPr>
      </w:pPr>
    </w:p>
    <w:p w:rsidR="002E5558" w:rsidRDefault="002E5558" w:rsidP="002E555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0030034B" w:rsidRPr="002E5558">
        <w:rPr>
          <w:rFonts w:ascii="Times New Roman" w:hAnsi="Times New Roman" w:cs="Times New Roman"/>
          <w:sz w:val="25"/>
          <w:szCs w:val="25"/>
        </w:rPr>
        <w:t>H</w:t>
      </w:r>
      <w:r>
        <w:rPr>
          <w:rFonts w:ascii="Times New Roman" w:hAnsi="Times New Roman" w:cs="Times New Roman"/>
          <w:sz w:val="25"/>
          <w:szCs w:val="25"/>
        </w:rPr>
        <w:t>.K.Sema and</w:t>
      </w:r>
      <w:r w:rsidRPr="002E5558">
        <w:rPr>
          <w:rFonts w:ascii="Times New Roman" w:hAnsi="Times New Roman" w:cs="Times New Roman"/>
          <w:sz w:val="25"/>
          <w:szCs w:val="25"/>
        </w:rPr>
        <w:t xml:space="preserve"> Markandey </w:t>
      </w:r>
      <w:r>
        <w:rPr>
          <w:rFonts w:ascii="Times New Roman" w:hAnsi="Times New Roman" w:cs="Times New Roman"/>
          <w:sz w:val="25"/>
          <w:szCs w:val="25"/>
        </w:rPr>
        <w:t>Katju,JJ.)</w:t>
      </w:r>
    </w:p>
    <w:p w:rsidR="002E5558" w:rsidRDefault="002E5558" w:rsidP="002E5558">
      <w:pPr>
        <w:spacing w:after="0" w:line="240" w:lineRule="auto"/>
        <w:jc w:val="center"/>
        <w:rPr>
          <w:rFonts w:ascii="Times New Roman" w:hAnsi="Times New Roman" w:cs="Times New Roman"/>
          <w:sz w:val="25"/>
          <w:szCs w:val="25"/>
        </w:rPr>
      </w:pPr>
    </w:p>
    <w:p w:rsidR="002E5558" w:rsidRDefault="002E5558" w:rsidP="002E555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20.02.</w:t>
      </w:r>
      <w:r w:rsidRPr="002E5558">
        <w:rPr>
          <w:rFonts w:ascii="Times New Roman" w:hAnsi="Times New Roman" w:cs="Times New Roman"/>
          <w:sz w:val="25"/>
          <w:szCs w:val="25"/>
        </w:rPr>
        <w:t>2008</w:t>
      </w:r>
    </w:p>
    <w:p w:rsidR="002E5558" w:rsidRDefault="002E5558" w:rsidP="002E5558">
      <w:pPr>
        <w:spacing w:after="0" w:line="240" w:lineRule="auto"/>
        <w:jc w:val="center"/>
        <w:rPr>
          <w:rFonts w:ascii="Times New Roman" w:hAnsi="Times New Roman" w:cs="Times New Roman"/>
          <w:sz w:val="25"/>
          <w:szCs w:val="25"/>
        </w:rPr>
      </w:pPr>
    </w:p>
    <w:p w:rsidR="002E5558" w:rsidRDefault="002E5558" w:rsidP="002E5558">
      <w:pPr>
        <w:spacing w:after="0" w:line="240" w:lineRule="auto"/>
        <w:jc w:val="center"/>
        <w:rPr>
          <w:rFonts w:ascii="Times New Roman" w:hAnsi="Times New Roman" w:cs="Times New Roman"/>
          <w:b/>
          <w:sz w:val="25"/>
          <w:szCs w:val="25"/>
        </w:rPr>
      </w:pPr>
      <w:r w:rsidRPr="002E5558">
        <w:rPr>
          <w:rFonts w:ascii="Times New Roman" w:hAnsi="Times New Roman" w:cs="Times New Roman"/>
          <w:b/>
          <w:sz w:val="25"/>
          <w:szCs w:val="25"/>
        </w:rPr>
        <w:t>ORDE</w:t>
      </w:r>
      <w:r w:rsidR="0030034B" w:rsidRPr="002E5558">
        <w:rPr>
          <w:rFonts w:ascii="Times New Roman" w:hAnsi="Times New Roman" w:cs="Times New Roman"/>
          <w:b/>
          <w:sz w:val="25"/>
          <w:szCs w:val="25"/>
        </w:rPr>
        <w:t>R</w:t>
      </w:r>
    </w:p>
    <w:p w:rsidR="002E5558" w:rsidRPr="002E5558" w:rsidRDefault="002E5558" w:rsidP="002E5558">
      <w:pPr>
        <w:spacing w:after="0" w:line="240" w:lineRule="auto"/>
        <w:jc w:val="both"/>
        <w:rPr>
          <w:rFonts w:ascii="Times New Roman" w:hAnsi="Times New Roman" w:cs="Times New Roman"/>
          <w:b/>
          <w:sz w:val="25"/>
          <w:szCs w:val="25"/>
        </w:rPr>
      </w:pPr>
    </w:p>
    <w:p w:rsidR="002E5558" w:rsidRDefault="0030034B" w:rsidP="002E5558">
      <w:pPr>
        <w:spacing w:after="0" w:line="240" w:lineRule="auto"/>
        <w:jc w:val="both"/>
        <w:rPr>
          <w:rFonts w:ascii="Times New Roman" w:hAnsi="Times New Roman" w:cs="Times New Roman"/>
          <w:sz w:val="25"/>
          <w:szCs w:val="25"/>
        </w:rPr>
      </w:pPr>
      <w:r w:rsidRPr="002E5558">
        <w:rPr>
          <w:rFonts w:ascii="Times New Roman" w:hAnsi="Times New Roman" w:cs="Times New Roman"/>
          <w:sz w:val="25"/>
          <w:szCs w:val="25"/>
        </w:rPr>
        <w:t xml:space="preserve"> </w:t>
      </w:r>
      <w:r w:rsidR="002E5558">
        <w:rPr>
          <w:rFonts w:ascii="Times New Roman" w:hAnsi="Times New Roman" w:cs="Times New Roman"/>
          <w:sz w:val="25"/>
          <w:szCs w:val="25"/>
        </w:rPr>
        <w:t xml:space="preserve">1. </w:t>
      </w:r>
      <w:r w:rsidRPr="002E5558">
        <w:rPr>
          <w:rFonts w:ascii="Times New Roman" w:hAnsi="Times New Roman" w:cs="Times New Roman"/>
          <w:sz w:val="25"/>
          <w:szCs w:val="25"/>
        </w:rPr>
        <w:t>Aggrieved by the order of the Division Bench of the H</w:t>
      </w:r>
      <w:r w:rsidR="002E5558">
        <w:rPr>
          <w:rFonts w:ascii="Times New Roman" w:hAnsi="Times New Roman" w:cs="Times New Roman"/>
          <w:sz w:val="25"/>
          <w:szCs w:val="25"/>
        </w:rPr>
        <w:t>igh Court of Orissa, these appe</w:t>
      </w:r>
      <w:r w:rsidRPr="002E5558">
        <w:rPr>
          <w:rFonts w:ascii="Times New Roman" w:hAnsi="Times New Roman" w:cs="Times New Roman"/>
          <w:sz w:val="25"/>
          <w:szCs w:val="25"/>
        </w:rPr>
        <w:t>als have been preferred. Heard learned counsel for the parties. The brief facts are as followed: Pursuant to advertisement for selection of junior gra</w:t>
      </w:r>
      <w:r w:rsidR="002E5558">
        <w:rPr>
          <w:rFonts w:ascii="Times New Roman" w:hAnsi="Times New Roman" w:cs="Times New Roman"/>
          <w:sz w:val="25"/>
          <w:szCs w:val="25"/>
        </w:rPr>
        <w:t>de typists, altogether 871 cand</w:t>
      </w:r>
      <w:r w:rsidRPr="002E5558">
        <w:rPr>
          <w:rFonts w:ascii="Times New Roman" w:hAnsi="Times New Roman" w:cs="Times New Roman"/>
          <w:sz w:val="25"/>
          <w:szCs w:val="25"/>
        </w:rPr>
        <w:t>idates were empanelled for appointment. The list was published on 3.12.1987. Amongst the 871 selected candidates, 845 belong to general category and 27 candid</w:t>
      </w:r>
      <w:r w:rsidR="004A551B">
        <w:rPr>
          <w:rFonts w:ascii="Times New Roman" w:hAnsi="Times New Roman" w:cs="Times New Roman"/>
          <w:sz w:val="25"/>
          <w:szCs w:val="25"/>
        </w:rPr>
        <w:t xml:space="preserve">ates belong to scheduled caste </w:t>
      </w:r>
      <w:r w:rsidRPr="002E5558">
        <w:rPr>
          <w:rFonts w:ascii="Times New Roman" w:hAnsi="Times New Roman" w:cs="Times New Roman"/>
          <w:sz w:val="25"/>
          <w:szCs w:val="25"/>
        </w:rPr>
        <w:t>category. Out of 845 of general category candidates, 184 were duly appointed. All the 27 candidates of schedule castes were also appointed. The remaining general category candidates who were not appointed, though selected, approached the tribunal. The tribunal directed the State to give them appointment by Order dated 1.3.1993. It is stated that the order of the tribunal</w:t>
      </w:r>
      <w:r w:rsidR="002E5558">
        <w:rPr>
          <w:rFonts w:ascii="Times New Roman" w:hAnsi="Times New Roman" w:cs="Times New Roman"/>
          <w:sz w:val="25"/>
          <w:szCs w:val="25"/>
        </w:rPr>
        <w:t xml:space="preserve"> has not been challenged. Howev</w:t>
      </w:r>
      <w:r w:rsidRPr="002E5558">
        <w:rPr>
          <w:rFonts w:ascii="Times New Roman" w:hAnsi="Times New Roman" w:cs="Times New Roman"/>
          <w:sz w:val="25"/>
          <w:szCs w:val="25"/>
        </w:rPr>
        <w:t>er, since there was no compliance with the order of the tribunal, a writ petition was preferred before the Division Bench of the High Court. The Division Bench by its impugned order directed that the respondents should be given appointment. Aggrieved thereby, these Special Leave Petitions have been filed by way of Special Leave. The first difficulty that we face in these cases is t</w:t>
      </w:r>
      <w:r w:rsidR="002E5558">
        <w:rPr>
          <w:rFonts w:ascii="Times New Roman" w:hAnsi="Times New Roman" w:cs="Times New Roman"/>
          <w:sz w:val="25"/>
          <w:szCs w:val="25"/>
        </w:rPr>
        <w:t>hat the selection list was publ</w:t>
      </w:r>
      <w:r w:rsidRPr="002E5558">
        <w:rPr>
          <w:rFonts w:ascii="Times New Roman" w:hAnsi="Times New Roman" w:cs="Times New Roman"/>
          <w:sz w:val="25"/>
          <w:szCs w:val="25"/>
        </w:rPr>
        <w:t>ished on 3.12.1987. Today we are in 2008. The second difficulty is that by now it is a well settled principle of law that a selectee does not have an indefeasible right for appointment, and, therefore, by virtue of being selected no enforceable right has accrued to the selected candidates. This has been held by a catena of judgments of this Court. Also we are dismayed to note that the High Court directed the respondent (appellan</w:t>
      </w:r>
      <w:r w:rsidR="002E5558">
        <w:rPr>
          <w:rFonts w:ascii="Times New Roman" w:hAnsi="Times New Roman" w:cs="Times New Roman"/>
          <w:sz w:val="25"/>
          <w:szCs w:val="25"/>
        </w:rPr>
        <w:t>t herein) to implement the orde</w:t>
      </w:r>
      <w:r w:rsidRPr="002E5558">
        <w:rPr>
          <w:rFonts w:ascii="Times New Roman" w:hAnsi="Times New Roman" w:cs="Times New Roman"/>
          <w:sz w:val="25"/>
          <w:szCs w:val="25"/>
        </w:rPr>
        <w:t>r of the tribunal, as if the High Court is sitting as an Execut</w:t>
      </w:r>
      <w:r w:rsidR="002E5558">
        <w:rPr>
          <w:rFonts w:ascii="Times New Roman" w:hAnsi="Times New Roman" w:cs="Times New Roman"/>
          <w:sz w:val="25"/>
          <w:szCs w:val="25"/>
        </w:rPr>
        <w:t>ing Court in exercise of the po</w:t>
      </w:r>
      <w:r w:rsidRPr="002E5558">
        <w:rPr>
          <w:rFonts w:ascii="Times New Roman" w:hAnsi="Times New Roman" w:cs="Times New Roman"/>
          <w:sz w:val="25"/>
          <w:szCs w:val="25"/>
        </w:rPr>
        <w:t xml:space="preserve">wer under Article 226 of the Constitution. The High Court’s power under Article 226 of the Constitution is available only in the case of miscarriage of </w:t>
      </w:r>
      <w:r w:rsidR="002E5558">
        <w:rPr>
          <w:rFonts w:ascii="Times New Roman" w:hAnsi="Times New Roman" w:cs="Times New Roman"/>
          <w:sz w:val="25"/>
          <w:szCs w:val="25"/>
        </w:rPr>
        <w:t>justice and where there is erro</w:t>
      </w:r>
      <w:r w:rsidRPr="002E5558">
        <w:rPr>
          <w:rFonts w:ascii="Times New Roman" w:hAnsi="Times New Roman" w:cs="Times New Roman"/>
          <w:sz w:val="25"/>
          <w:szCs w:val="25"/>
        </w:rPr>
        <w:t xml:space="preserve">r of law apparent on the face of the record. A High Court exercising its power under Article 226 cannot act as an Executing Court. In our view, therefore, the order of the High Court and the tribunal are not sustain able in law. </w:t>
      </w:r>
    </w:p>
    <w:p w:rsidR="002E5558" w:rsidRDefault="002E5558" w:rsidP="002E5558">
      <w:pPr>
        <w:spacing w:after="0" w:line="240" w:lineRule="auto"/>
        <w:jc w:val="both"/>
        <w:rPr>
          <w:rFonts w:ascii="Times New Roman" w:hAnsi="Times New Roman" w:cs="Times New Roman"/>
          <w:sz w:val="25"/>
          <w:szCs w:val="25"/>
        </w:rPr>
      </w:pPr>
    </w:p>
    <w:p w:rsidR="00D45106" w:rsidRPr="002E5558" w:rsidRDefault="002E5558" w:rsidP="002E55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30034B" w:rsidRPr="002E5558">
        <w:rPr>
          <w:rFonts w:ascii="Times New Roman" w:hAnsi="Times New Roman" w:cs="Times New Roman"/>
          <w:sz w:val="25"/>
          <w:szCs w:val="25"/>
        </w:rPr>
        <w:t>Therefore, they are accordingly set aside.</w:t>
      </w:r>
      <w:r w:rsidRPr="002E5558">
        <w:t xml:space="preserve"> </w:t>
      </w:r>
    </w:p>
    <w:sectPr w:rsidR="00D45106" w:rsidRPr="002E5558"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C06" w:rsidRDefault="00037C06" w:rsidP="002E5558">
      <w:pPr>
        <w:spacing w:after="0" w:line="240" w:lineRule="auto"/>
      </w:pPr>
      <w:r>
        <w:separator/>
      </w:r>
    </w:p>
  </w:endnote>
  <w:endnote w:type="continuationSeparator" w:id="1">
    <w:p w:rsidR="00037C06" w:rsidRDefault="00037C06" w:rsidP="002E55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73506"/>
      <w:docPartObj>
        <w:docPartGallery w:val="Page Numbers (Bottom of Page)"/>
        <w:docPartUnique/>
      </w:docPartObj>
    </w:sdtPr>
    <w:sdtContent>
      <w:p w:rsidR="002E5558" w:rsidRPr="004A551B" w:rsidRDefault="004A551B">
        <w:pPr>
          <w:pStyle w:val="Footer"/>
          <w:jc w:val="center"/>
          <w:rPr>
            <w:rFonts w:ascii="Times New Roman" w:hAnsi="Times New Roman" w:cs="Times New Roman"/>
          </w:rPr>
        </w:pPr>
        <w:r w:rsidRPr="004A551B">
          <w:rPr>
            <w:rFonts w:ascii="Times New Roman" w:hAnsi="Times New Roman" w:cs="Times New Roman"/>
          </w:rPr>
          <w:t xml:space="preserve">                                        </w:t>
        </w:r>
        <w:r>
          <w:rPr>
            <w:rFonts w:ascii="Times New Roman" w:hAnsi="Times New Roman" w:cs="Times New Roman"/>
          </w:rPr>
          <w:t xml:space="preserve">     </w:t>
        </w:r>
        <w:r w:rsidRPr="004A551B">
          <w:rPr>
            <w:rFonts w:ascii="Times New Roman" w:hAnsi="Times New Roman" w:cs="Times New Roman"/>
          </w:rPr>
          <w:t xml:space="preserve">    </w:t>
        </w:r>
        <w:r w:rsidR="002E5558" w:rsidRPr="004A551B">
          <w:rPr>
            <w:rFonts w:ascii="Times New Roman" w:hAnsi="Times New Roman" w:cs="Times New Roman"/>
          </w:rPr>
          <w:fldChar w:fldCharType="begin"/>
        </w:r>
        <w:r w:rsidR="002E5558" w:rsidRPr="004A551B">
          <w:rPr>
            <w:rFonts w:ascii="Times New Roman" w:hAnsi="Times New Roman" w:cs="Times New Roman"/>
          </w:rPr>
          <w:instrText xml:space="preserve"> PAGE   \* MERGEFORMAT </w:instrText>
        </w:r>
        <w:r w:rsidR="002E5558" w:rsidRPr="004A551B">
          <w:rPr>
            <w:rFonts w:ascii="Times New Roman" w:hAnsi="Times New Roman" w:cs="Times New Roman"/>
          </w:rPr>
          <w:fldChar w:fldCharType="separate"/>
        </w:r>
        <w:r>
          <w:rPr>
            <w:rFonts w:ascii="Times New Roman" w:hAnsi="Times New Roman" w:cs="Times New Roman"/>
            <w:noProof/>
          </w:rPr>
          <w:t>1</w:t>
        </w:r>
        <w:r w:rsidR="002E5558" w:rsidRPr="004A551B">
          <w:rPr>
            <w:rFonts w:ascii="Times New Roman" w:hAnsi="Times New Roman" w:cs="Times New Roman"/>
          </w:rPr>
          <w:fldChar w:fldCharType="end"/>
        </w:r>
        <w:r w:rsidR="002E5558" w:rsidRPr="004A551B">
          <w:rPr>
            <w:rFonts w:ascii="Times New Roman" w:hAnsi="Times New Roman" w:cs="Times New Roman"/>
          </w:rPr>
          <w:t xml:space="preserve">                                           </w:t>
        </w:r>
        <w:r>
          <w:rPr>
            <w:rFonts w:ascii="Times New Roman" w:hAnsi="Times New Roman" w:cs="Times New Roman"/>
          </w:rPr>
          <w:t xml:space="preserve">   </w:t>
        </w:r>
        <w:r w:rsidRPr="004A551B">
          <w:rPr>
            <w:rFonts w:ascii="Times New Roman" w:hAnsi="Times New Roman" w:cs="Times New Roman"/>
          </w:rPr>
          <w:t xml:space="preserve">                </w:t>
        </w:r>
        <w:r w:rsidR="002E5558" w:rsidRPr="004A551B">
          <w:rPr>
            <w:rFonts w:ascii="Times New Roman" w:hAnsi="Times New Roman" w:cs="Times New Roman"/>
          </w:rPr>
          <w:t xml:space="preserve">                       SpotLaw</w:t>
        </w:r>
      </w:p>
    </w:sdtContent>
  </w:sdt>
  <w:p w:rsidR="002E5558" w:rsidRPr="004A551B" w:rsidRDefault="002E555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C06" w:rsidRDefault="00037C06" w:rsidP="002E5558">
      <w:pPr>
        <w:spacing w:after="0" w:line="240" w:lineRule="auto"/>
      </w:pPr>
      <w:r>
        <w:separator/>
      </w:r>
    </w:p>
  </w:footnote>
  <w:footnote w:type="continuationSeparator" w:id="1">
    <w:p w:rsidR="00037C06" w:rsidRDefault="00037C06" w:rsidP="002E55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37C06"/>
    <w:rsid w:val="002E5558"/>
    <w:rsid w:val="0030034B"/>
    <w:rsid w:val="004A551B"/>
    <w:rsid w:val="006B3918"/>
    <w:rsid w:val="00803B22"/>
    <w:rsid w:val="008A545B"/>
    <w:rsid w:val="00A82D48"/>
    <w:rsid w:val="00D4072E"/>
    <w:rsid w:val="00D45106"/>
    <w:rsid w:val="00E85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E5558"/>
    <w:pPr>
      <w:ind w:left="720"/>
      <w:contextualSpacing/>
    </w:pPr>
  </w:style>
  <w:style w:type="paragraph" w:styleId="Header">
    <w:name w:val="header"/>
    <w:basedOn w:val="Normal"/>
    <w:link w:val="HeaderChar"/>
    <w:uiPriority w:val="99"/>
    <w:semiHidden/>
    <w:unhideWhenUsed/>
    <w:rsid w:val="002E55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5558"/>
  </w:style>
  <w:style w:type="paragraph" w:styleId="Footer">
    <w:name w:val="footer"/>
    <w:basedOn w:val="Normal"/>
    <w:link w:val="FooterChar"/>
    <w:uiPriority w:val="99"/>
    <w:unhideWhenUsed/>
    <w:rsid w:val="002E5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558"/>
  </w:style>
</w:styles>
</file>

<file path=word/webSettings.xml><?xml version="1.0" encoding="utf-8"?>
<w:webSettings xmlns:r="http://schemas.openxmlformats.org/officeDocument/2006/relationships" xmlns:w="http://schemas.openxmlformats.org/wordprocessingml/2006/main">
  <w:divs>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2016-01-14T05:28:00Z</dcterms:created>
  <dcterms:modified xsi:type="dcterms:W3CDTF">2016-01-14T05:28:00Z</dcterms:modified>
</cp:coreProperties>
</file>