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FC9" w:rsidRPr="00162BC3" w:rsidRDefault="00162BC3" w:rsidP="00162BC3">
      <w:pPr>
        <w:spacing w:after="0" w:line="240" w:lineRule="auto"/>
        <w:jc w:val="center"/>
        <w:rPr>
          <w:rFonts w:ascii="Times New Roman" w:eastAsia="Times New Roman" w:hAnsi="Times New Roman" w:cs="Times New Roman"/>
          <w:b/>
          <w:bCs/>
          <w:sz w:val="25"/>
          <w:szCs w:val="25"/>
        </w:rPr>
      </w:pPr>
      <w:r w:rsidRPr="00162BC3">
        <w:rPr>
          <w:rFonts w:ascii="Times New Roman" w:eastAsia="Times New Roman" w:hAnsi="Times New Roman" w:cs="Times New Roman"/>
          <w:b/>
          <w:bCs/>
          <w:sz w:val="25"/>
          <w:szCs w:val="25"/>
        </w:rPr>
        <w:t>SUPREME COURT OF INDIA</w:t>
      </w:r>
    </w:p>
    <w:p w:rsidR="00162BC3" w:rsidRPr="00162BC3" w:rsidRDefault="00162BC3" w:rsidP="00162BC3">
      <w:pPr>
        <w:spacing w:after="0" w:line="240" w:lineRule="auto"/>
        <w:jc w:val="center"/>
        <w:rPr>
          <w:rFonts w:ascii="Times New Roman" w:eastAsia="Times New Roman" w:hAnsi="Times New Roman" w:cs="Times New Roman"/>
          <w:bCs/>
          <w:sz w:val="25"/>
          <w:szCs w:val="25"/>
        </w:rPr>
      </w:pPr>
    </w:p>
    <w:p w:rsidR="00162BC3" w:rsidRDefault="004E7FC9" w:rsidP="00162BC3">
      <w:pPr>
        <w:spacing w:after="0" w:line="240" w:lineRule="auto"/>
        <w:jc w:val="center"/>
        <w:rPr>
          <w:rFonts w:ascii="Times New Roman" w:eastAsia="Times New Roman" w:hAnsi="Times New Roman" w:cs="Times New Roman"/>
          <w:bCs/>
          <w:sz w:val="25"/>
          <w:szCs w:val="25"/>
        </w:rPr>
      </w:pPr>
      <w:r w:rsidRPr="00162BC3">
        <w:rPr>
          <w:rFonts w:ascii="Times New Roman" w:eastAsia="Times New Roman" w:hAnsi="Times New Roman" w:cs="Times New Roman"/>
          <w:bCs/>
          <w:sz w:val="25"/>
          <w:szCs w:val="25"/>
        </w:rPr>
        <w:t>Texmaco Ltd. Cement Division</w:t>
      </w:r>
    </w:p>
    <w:p w:rsidR="00162BC3" w:rsidRDefault="00162BC3" w:rsidP="00162BC3">
      <w:pPr>
        <w:spacing w:after="0" w:line="240" w:lineRule="auto"/>
        <w:jc w:val="center"/>
        <w:rPr>
          <w:rFonts w:ascii="Times New Roman" w:eastAsia="Times New Roman" w:hAnsi="Times New Roman" w:cs="Times New Roman"/>
          <w:bCs/>
          <w:sz w:val="25"/>
          <w:szCs w:val="25"/>
        </w:rPr>
      </w:pPr>
    </w:p>
    <w:p w:rsidR="00162BC3" w:rsidRDefault="00162BC3" w:rsidP="00162BC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62BC3" w:rsidRDefault="00162BC3" w:rsidP="00162BC3">
      <w:pPr>
        <w:spacing w:after="0" w:line="240" w:lineRule="auto"/>
        <w:jc w:val="center"/>
        <w:rPr>
          <w:rFonts w:ascii="Times New Roman" w:eastAsia="Times New Roman" w:hAnsi="Times New Roman" w:cs="Times New Roman"/>
          <w:bCs/>
          <w:sz w:val="25"/>
          <w:szCs w:val="25"/>
        </w:rPr>
      </w:pPr>
    </w:p>
    <w:p w:rsidR="004E7FC9" w:rsidRDefault="00162BC3" w:rsidP="00162BC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A.S.</w:t>
      </w:r>
      <w:r w:rsidR="004E7FC9" w:rsidRPr="00162BC3">
        <w:rPr>
          <w:rFonts w:ascii="Times New Roman" w:eastAsia="Times New Roman" w:hAnsi="Times New Roman" w:cs="Times New Roman"/>
          <w:bCs/>
          <w:sz w:val="25"/>
          <w:szCs w:val="25"/>
        </w:rPr>
        <w:t>Narasimham</w:t>
      </w:r>
    </w:p>
    <w:p w:rsidR="00162BC3" w:rsidRDefault="00162BC3" w:rsidP="00162BC3">
      <w:pPr>
        <w:spacing w:after="0" w:line="240" w:lineRule="auto"/>
        <w:jc w:val="center"/>
        <w:rPr>
          <w:rFonts w:ascii="Times New Roman" w:eastAsia="Times New Roman" w:hAnsi="Times New Roman" w:cs="Times New Roman"/>
          <w:bCs/>
          <w:sz w:val="25"/>
          <w:szCs w:val="25"/>
        </w:rPr>
      </w:pPr>
    </w:p>
    <w:p w:rsidR="00162BC3" w:rsidRDefault="00162BC3" w:rsidP="00162BC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62BC3">
        <w:rPr>
          <w:rFonts w:ascii="Times New Roman" w:eastAsia="Times New Roman" w:hAnsi="Times New Roman" w:cs="Times New Roman"/>
          <w:sz w:val="25"/>
          <w:szCs w:val="25"/>
        </w:rPr>
        <w:t>1815 of 2008</w:t>
      </w:r>
    </w:p>
    <w:p w:rsidR="00162BC3" w:rsidRPr="00162BC3" w:rsidRDefault="00162BC3" w:rsidP="00162BC3">
      <w:pPr>
        <w:spacing w:after="0" w:line="240" w:lineRule="auto"/>
        <w:jc w:val="center"/>
        <w:rPr>
          <w:rFonts w:ascii="Times New Roman" w:eastAsia="Times New Roman" w:hAnsi="Times New Roman" w:cs="Times New Roman"/>
          <w:bCs/>
          <w:sz w:val="25"/>
          <w:szCs w:val="25"/>
        </w:rPr>
      </w:pPr>
    </w:p>
    <w:p w:rsidR="004E7FC9" w:rsidRDefault="00162BC3" w:rsidP="00162BC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and J.M.</w:t>
      </w:r>
      <w:r w:rsidR="004E7FC9" w:rsidRPr="00162BC3">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162BC3" w:rsidRDefault="00162BC3" w:rsidP="00162BC3">
      <w:pPr>
        <w:spacing w:after="0" w:line="240" w:lineRule="auto"/>
        <w:jc w:val="center"/>
        <w:rPr>
          <w:rFonts w:ascii="Times New Roman" w:eastAsia="Times New Roman" w:hAnsi="Times New Roman" w:cs="Times New Roman"/>
          <w:bCs/>
          <w:sz w:val="25"/>
          <w:szCs w:val="25"/>
        </w:rPr>
      </w:pPr>
    </w:p>
    <w:p w:rsidR="00162BC3" w:rsidRPr="00162BC3" w:rsidRDefault="00162BC3" w:rsidP="00162BC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07.03.</w:t>
      </w:r>
      <w:r w:rsidRPr="00162BC3">
        <w:rPr>
          <w:rFonts w:ascii="Times New Roman" w:eastAsia="Times New Roman" w:hAnsi="Times New Roman" w:cs="Times New Roman"/>
          <w:bCs/>
          <w:sz w:val="25"/>
          <w:szCs w:val="25"/>
        </w:rPr>
        <w:t>2008</w:t>
      </w:r>
    </w:p>
    <w:p w:rsidR="004E7FC9" w:rsidRPr="00162BC3" w:rsidRDefault="004E7FC9" w:rsidP="00162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62BC3" w:rsidRDefault="00162BC3" w:rsidP="00162BC3">
      <w:pPr>
        <w:spacing w:after="0" w:line="240" w:lineRule="auto"/>
        <w:jc w:val="center"/>
        <w:rPr>
          <w:rFonts w:ascii="Times New Roman" w:eastAsia="Times New Roman" w:hAnsi="Times New Roman" w:cs="Times New Roman"/>
          <w:b/>
          <w:sz w:val="25"/>
          <w:szCs w:val="25"/>
        </w:rPr>
      </w:pPr>
      <w:r w:rsidRPr="00162BC3">
        <w:rPr>
          <w:rFonts w:ascii="Times New Roman" w:eastAsia="Times New Roman" w:hAnsi="Times New Roman" w:cs="Times New Roman"/>
          <w:b/>
          <w:sz w:val="25"/>
          <w:szCs w:val="25"/>
        </w:rPr>
        <w:t>ORDER</w:t>
      </w:r>
    </w:p>
    <w:p w:rsidR="00162BC3" w:rsidRPr="00162BC3" w:rsidRDefault="00162BC3" w:rsidP="00162BC3">
      <w:pPr>
        <w:spacing w:after="0" w:line="240" w:lineRule="auto"/>
        <w:jc w:val="both"/>
        <w:rPr>
          <w:rFonts w:ascii="Times New Roman" w:eastAsia="Times New Roman" w:hAnsi="Times New Roman" w:cs="Times New Roman"/>
          <w:b/>
          <w:sz w:val="25"/>
          <w:szCs w:val="25"/>
        </w:rPr>
      </w:pPr>
    </w:p>
    <w:p w:rsidR="00162BC3" w:rsidRDefault="004E7FC9" w:rsidP="00162BC3">
      <w:pPr>
        <w:spacing w:after="0" w:line="240" w:lineRule="auto"/>
        <w:jc w:val="both"/>
        <w:rPr>
          <w:rFonts w:ascii="Times New Roman" w:eastAsia="Times New Roman" w:hAnsi="Times New Roman" w:cs="Times New Roman"/>
          <w:sz w:val="25"/>
          <w:szCs w:val="25"/>
        </w:rPr>
      </w:pPr>
      <w:r w:rsidRPr="00162BC3">
        <w:rPr>
          <w:rFonts w:ascii="Times New Roman" w:eastAsia="Times New Roman" w:hAnsi="Times New Roman" w:cs="Times New Roman"/>
          <w:sz w:val="25"/>
          <w:szCs w:val="25"/>
        </w:rPr>
        <w:t xml:space="preserve"> [Arising out of SLP(C)No. 24836 of 2005] </w:t>
      </w:r>
    </w:p>
    <w:p w:rsidR="00162BC3" w:rsidRDefault="00162BC3" w:rsidP="00162BC3">
      <w:pPr>
        <w:spacing w:after="0" w:line="240" w:lineRule="auto"/>
        <w:jc w:val="both"/>
        <w:rPr>
          <w:rFonts w:ascii="Times New Roman" w:eastAsia="Times New Roman" w:hAnsi="Times New Roman" w:cs="Times New Roman"/>
          <w:sz w:val="25"/>
          <w:szCs w:val="25"/>
        </w:rPr>
      </w:pPr>
    </w:p>
    <w:p w:rsidR="004E7FC9" w:rsidRDefault="00162BC3" w:rsidP="00162B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E7FC9" w:rsidRPr="00162BC3">
        <w:rPr>
          <w:rFonts w:ascii="Times New Roman" w:eastAsia="Times New Roman" w:hAnsi="Times New Roman" w:cs="Times New Roman"/>
          <w:sz w:val="25"/>
          <w:szCs w:val="25"/>
        </w:rPr>
        <w:t>Leave granted.</w:t>
      </w:r>
    </w:p>
    <w:p w:rsidR="00162BC3" w:rsidRPr="00162BC3" w:rsidRDefault="00162BC3" w:rsidP="00162BC3">
      <w:pPr>
        <w:spacing w:after="0" w:line="240" w:lineRule="auto"/>
        <w:jc w:val="both"/>
        <w:rPr>
          <w:rFonts w:ascii="Times New Roman" w:eastAsia="Times New Roman" w:hAnsi="Times New Roman" w:cs="Times New Roman"/>
          <w:sz w:val="25"/>
          <w:szCs w:val="25"/>
        </w:rPr>
      </w:pPr>
    </w:p>
    <w:p w:rsidR="004E7FC9" w:rsidRDefault="00162BC3" w:rsidP="00162B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E7FC9" w:rsidRPr="00162BC3">
        <w:rPr>
          <w:rFonts w:ascii="Times New Roman" w:eastAsia="Times New Roman" w:hAnsi="Times New Roman" w:cs="Times New Roman"/>
          <w:sz w:val="25"/>
          <w:szCs w:val="25"/>
        </w:rPr>
        <w:t>We have heard learned counsel for the parties.</w:t>
      </w:r>
    </w:p>
    <w:p w:rsidR="00162BC3" w:rsidRPr="00162BC3" w:rsidRDefault="00162BC3" w:rsidP="00162BC3">
      <w:pPr>
        <w:spacing w:after="0" w:line="240" w:lineRule="auto"/>
        <w:jc w:val="both"/>
        <w:rPr>
          <w:rFonts w:ascii="Times New Roman" w:eastAsia="Times New Roman" w:hAnsi="Times New Roman" w:cs="Times New Roman"/>
          <w:sz w:val="25"/>
          <w:szCs w:val="25"/>
        </w:rPr>
      </w:pPr>
    </w:p>
    <w:p w:rsidR="004E7FC9" w:rsidRDefault="00162BC3" w:rsidP="00162B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E7FC9" w:rsidRPr="00162BC3">
        <w:rPr>
          <w:rFonts w:ascii="Times New Roman" w:eastAsia="Times New Roman" w:hAnsi="Times New Roman" w:cs="Times New Roman"/>
          <w:sz w:val="25"/>
          <w:szCs w:val="25"/>
        </w:rPr>
        <w:t>It appears that the respondent herein was appointed to look after sales promotion work by the appellant herein with effect from 19th May, 1986. His services were thereafter terminated on 21st September, 1993, but on a representation made by him, he was re-appointed by the appellant and was put on probation for six months. Thereafter, on 20th October, 1994 his probation was extended. Subsequently, by letter dated 20th October, 1994, he was informed that his period of probation would be over on 16th November, 1994, and that thereafter, he would be relieved from service after working hours on the same date. Aggrieved by the said communication, the respondent raised a dispute which was referred to the Industrial Tribunal-cum-Labour Court, Anantpur. The said reference was ultimately dismissed by the learned tribunal, which permitted the respondent to file writ petition before the Andhra Pradesh High Court. The High Court allowed the writ application and set aside the Award passed by the Labour Court with a direction to the appellant to reinstate the respondent in service as a permanent employee of the company, with continuity of service, attendance benefits and full back-wages. Aggrieved by the said order of the learned Single Judge, the appellant moved the Division Bench of the High Court, which passed an interim order on 16th September, 2005 to the following effect:-</w:t>
      </w:r>
    </w:p>
    <w:p w:rsidR="00162BC3" w:rsidRPr="00162BC3" w:rsidRDefault="00162BC3" w:rsidP="00162BC3">
      <w:pPr>
        <w:spacing w:after="0" w:line="240" w:lineRule="auto"/>
        <w:ind w:left="720"/>
        <w:jc w:val="both"/>
        <w:rPr>
          <w:rFonts w:ascii="Times New Roman" w:eastAsia="Times New Roman" w:hAnsi="Times New Roman" w:cs="Times New Roman"/>
          <w:sz w:val="25"/>
          <w:szCs w:val="25"/>
        </w:rPr>
      </w:pPr>
    </w:p>
    <w:p w:rsidR="004E7FC9" w:rsidRDefault="004E7FC9" w:rsidP="00162BC3">
      <w:pPr>
        <w:spacing w:after="0" w:line="240" w:lineRule="auto"/>
        <w:ind w:left="720"/>
        <w:jc w:val="both"/>
        <w:rPr>
          <w:rFonts w:ascii="Times New Roman" w:eastAsia="Times New Roman" w:hAnsi="Times New Roman" w:cs="Times New Roman"/>
          <w:sz w:val="25"/>
          <w:szCs w:val="25"/>
        </w:rPr>
      </w:pPr>
      <w:r w:rsidRPr="00162BC3">
        <w:rPr>
          <w:rFonts w:ascii="Times New Roman" w:eastAsia="Times New Roman" w:hAnsi="Times New Roman" w:cs="Times New Roman"/>
          <w:sz w:val="25"/>
          <w:szCs w:val="25"/>
        </w:rPr>
        <w:t>"Heard both sides. There shall be interim suspension pending appeal subject to compliance of</w:t>
      </w:r>
      <w:hyperlink r:id="rId6" w:history="1">
        <w:r w:rsidRPr="00162BC3">
          <w:rPr>
            <w:rFonts w:ascii="Times New Roman" w:eastAsia="Times New Roman" w:hAnsi="Times New Roman" w:cs="Times New Roman"/>
            <w:sz w:val="25"/>
            <w:szCs w:val="25"/>
          </w:rPr>
          <w:t>Section 17-B</w:t>
        </w:r>
      </w:hyperlink>
      <w:r w:rsidRPr="00162BC3">
        <w:rPr>
          <w:rFonts w:ascii="Times New Roman" w:eastAsia="Times New Roman" w:hAnsi="Times New Roman" w:cs="Times New Roman"/>
          <w:sz w:val="25"/>
          <w:szCs w:val="25"/>
        </w:rPr>
        <w:t> of the I.D. Act from the date of the order."</w:t>
      </w:r>
    </w:p>
    <w:p w:rsidR="00162BC3" w:rsidRPr="00162BC3" w:rsidRDefault="00162BC3" w:rsidP="00162BC3">
      <w:pPr>
        <w:spacing w:after="0" w:line="240" w:lineRule="auto"/>
        <w:jc w:val="both"/>
        <w:rPr>
          <w:rFonts w:ascii="Times New Roman" w:eastAsia="Times New Roman" w:hAnsi="Times New Roman" w:cs="Times New Roman"/>
          <w:sz w:val="25"/>
          <w:szCs w:val="25"/>
        </w:rPr>
      </w:pPr>
    </w:p>
    <w:p w:rsidR="004E7FC9" w:rsidRDefault="00162BC3" w:rsidP="00162B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E7FC9" w:rsidRPr="00162BC3">
        <w:rPr>
          <w:rFonts w:ascii="Times New Roman" w:eastAsia="Times New Roman" w:hAnsi="Times New Roman" w:cs="Times New Roman"/>
          <w:sz w:val="25"/>
          <w:szCs w:val="25"/>
        </w:rPr>
        <w:t>It is the said interim direction of the Division Bench of the High Court which is the subject matter of the present appeal.</w:t>
      </w:r>
      <w:r>
        <w:rPr>
          <w:rFonts w:ascii="Times New Roman" w:eastAsia="Times New Roman" w:hAnsi="Times New Roman" w:cs="Times New Roman"/>
          <w:sz w:val="25"/>
          <w:szCs w:val="25"/>
        </w:rPr>
        <w:t xml:space="preserve"> </w:t>
      </w:r>
      <w:r w:rsidR="004E7FC9" w:rsidRPr="00162BC3">
        <w:rPr>
          <w:rFonts w:ascii="Times New Roman" w:eastAsia="Times New Roman" w:hAnsi="Times New Roman" w:cs="Times New Roman"/>
          <w:sz w:val="25"/>
          <w:szCs w:val="25"/>
        </w:rPr>
        <w:t>Mrs. Maheshwari, learned counsel appearing for the appellant submitted that the High Court had erred in directing that the provisions of </w:t>
      </w:r>
      <w:hyperlink r:id="rId7"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xml:space="preserve"> of </w:t>
      </w:r>
      <w:r w:rsidR="004E7FC9" w:rsidRPr="00162BC3">
        <w:rPr>
          <w:rFonts w:ascii="Times New Roman" w:eastAsia="Times New Roman" w:hAnsi="Times New Roman" w:cs="Times New Roman"/>
          <w:sz w:val="25"/>
          <w:szCs w:val="25"/>
        </w:rPr>
        <w:lastRenderedPageBreak/>
        <w:t>the Industrial Disputes Act, 1947 be complied with as a condition for grant of stay. According to her, the Section itself indicates that the benefit of the Section would be available only against an Award of a Labour Court, Tribunal or National Tribunal which is stayed by a higher court. Mrs. Maheshwari further submitted that in addition to the above, the Division Bench of the High Court had also failed to take into consideration the proviso to </w:t>
      </w:r>
      <w:hyperlink r:id="rId8"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which provides that either the High Court or the Supreme Court in passing an order under </w:t>
      </w:r>
      <w:hyperlink r:id="rId9"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would have to be satisfied that the workmen had not been gainfully employed elsewhere and had not been receiving adequate remuneration during the period in question. Mr. R. Santhan Krishnan, learned counsel appearing for the respondent- workman submitted that the provisions of </w:t>
      </w:r>
      <w:hyperlink r:id="rId10"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had to be considered in the spirit in which it was enacted and introduced in the </w:t>
      </w:r>
      <w:hyperlink r:id="rId11" w:history="1">
        <w:r w:rsidR="004E7FC9" w:rsidRPr="00162BC3">
          <w:rPr>
            <w:rFonts w:ascii="Times New Roman" w:eastAsia="Times New Roman" w:hAnsi="Times New Roman" w:cs="Times New Roman"/>
            <w:sz w:val="25"/>
            <w:szCs w:val="25"/>
          </w:rPr>
          <w:t>Industrial Disputes Act</w:t>
        </w:r>
      </w:hyperlink>
      <w:r w:rsidR="004E7FC9" w:rsidRPr="00162BC3">
        <w:rPr>
          <w:rFonts w:ascii="Times New Roman" w:eastAsia="Times New Roman" w:hAnsi="Times New Roman" w:cs="Times New Roman"/>
          <w:sz w:val="25"/>
          <w:szCs w:val="25"/>
        </w:rPr>
        <w:t>, namely, to provide a means of subsistence to the workmen during the period when the Award made in his favour stood suspended by way of challenge before the higher forum. According to him though the provisions of </w:t>
      </w:r>
      <w:hyperlink r:id="rId12"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xml:space="preserve"> may not strictly apply in respect of an order of reinstatement passed by the High Court, this Court had in the case of </w:t>
      </w:r>
      <w:r w:rsidR="004E7FC9" w:rsidRPr="00162BC3">
        <w:rPr>
          <w:rFonts w:ascii="Times New Roman" w:eastAsia="Times New Roman" w:hAnsi="Times New Roman" w:cs="Times New Roman"/>
          <w:i/>
          <w:sz w:val="25"/>
          <w:szCs w:val="25"/>
        </w:rPr>
        <w:t>Dena Bank Vs. Kiritkumar T. Patel</w:t>
      </w:r>
      <w:r w:rsidRPr="00162BC3">
        <w:rPr>
          <w:rFonts w:ascii="Times New Roman" w:eastAsia="Times New Roman" w:hAnsi="Times New Roman" w:cs="Times New Roman"/>
          <w:i/>
          <w:sz w:val="20"/>
          <w:szCs w:val="20"/>
          <w:vertAlign w:val="superscript"/>
        </w:rPr>
        <w:t>1</w:t>
      </w:r>
      <w:r w:rsidR="004E7FC9" w:rsidRPr="00162BC3">
        <w:rPr>
          <w:rFonts w:ascii="Times New Roman" w:eastAsia="Times New Roman" w:hAnsi="Times New Roman" w:cs="Times New Roman"/>
          <w:i/>
          <w:sz w:val="25"/>
          <w:szCs w:val="25"/>
        </w:rPr>
        <w:t xml:space="preserve">, </w:t>
      </w:r>
      <w:r w:rsidR="004E7FC9" w:rsidRPr="00162BC3">
        <w:rPr>
          <w:rFonts w:ascii="Times New Roman" w:eastAsia="Times New Roman" w:hAnsi="Times New Roman" w:cs="Times New Roman"/>
          <w:sz w:val="25"/>
          <w:szCs w:val="25"/>
        </w:rPr>
        <w:t>held that the powers of the High Court and the Supreme Court under Articles 226 and 136 of the Constitution were not in any way restricted to the provisions of </w:t>
      </w:r>
      <w:hyperlink r:id="rId13"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of the Industrial Disputes Act, but that both the High Court and the Supreme Court could give directions which were similar to those contained in </w:t>
      </w:r>
      <w:hyperlink r:id="rId14"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to provide interim relief to the workmen during the pendency of a challenge to the Award made in his favour. He also referred to another decision in the case of Dena Bank Vs. Ghanshyam, 2001 (5)SCC 169, where the earlier judgment had been followed. Having considered the submissions made on behalf of the respective parties, although, we agree with the submissions made by Mrs. Maheshwari that</w:t>
      </w:r>
      <w:hyperlink r:id="rId15"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of the Industrial Disputes Act would not strictly apply in the fact situation of this case, we also agree with Mr. Krishnan that this Court under </w:t>
      </w:r>
      <w:hyperlink r:id="rId16" w:history="1">
        <w:r w:rsidR="004E7FC9" w:rsidRPr="00162BC3">
          <w:rPr>
            <w:rFonts w:ascii="Times New Roman" w:eastAsia="Times New Roman" w:hAnsi="Times New Roman" w:cs="Times New Roman"/>
            <w:sz w:val="25"/>
            <w:szCs w:val="25"/>
          </w:rPr>
          <w:t>Article 136</w:t>
        </w:r>
      </w:hyperlink>
      <w:r w:rsidR="004E7FC9" w:rsidRPr="00162BC3">
        <w:rPr>
          <w:rFonts w:ascii="Times New Roman" w:eastAsia="Times New Roman" w:hAnsi="Times New Roman" w:cs="Times New Roman"/>
          <w:sz w:val="25"/>
          <w:szCs w:val="25"/>
        </w:rPr>
        <w:t> of the Constitution has the power to grant relief similar to that contemplated under </w:t>
      </w:r>
      <w:hyperlink r:id="rId17"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of the Industrial Disputes Act, since the object of </w:t>
      </w:r>
      <w:hyperlink r:id="rId18"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as indicated hereinbefore, is to provide interim relief to the workman, who has an Award in his favour and which Award is challenged before the higher forum to prevent its implementation.</w:t>
      </w:r>
    </w:p>
    <w:p w:rsidR="00162BC3" w:rsidRPr="00162BC3" w:rsidRDefault="00162BC3" w:rsidP="00162BC3">
      <w:pPr>
        <w:spacing w:after="0" w:line="240" w:lineRule="auto"/>
        <w:jc w:val="both"/>
        <w:rPr>
          <w:rFonts w:ascii="Times New Roman" w:eastAsia="Times New Roman" w:hAnsi="Times New Roman" w:cs="Times New Roman"/>
          <w:sz w:val="25"/>
          <w:szCs w:val="25"/>
        </w:rPr>
      </w:pPr>
    </w:p>
    <w:p w:rsidR="004E7FC9" w:rsidRDefault="00162BC3" w:rsidP="00162B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E7FC9" w:rsidRPr="00162BC3">
        <w:rPr>
          <w:rFonts w:ascii="Times New Roman" w:eastAsia="Times New Roman" w:hAnsi="Times New Roman" w:cs="Times New Roman"/>
          <w:sz w:val="25"/>
          <w:szCs w:val="25"/>
        </w:rPr>
        <w:t>We, accordingly, see no reason to interfere with the order passed by the Division Bench of the High Court under appeal, but we also make it clear that the spirit of Section 17- B of the Industrial Disputes Act has to be maintained as a whole and, accordingly, whatever relief is granted in terms of the directions given by the Division Bench of the High Court must also take into consideration the proviso to </w:t>
      </w:r>
      <w:hyperlink r:id="rId19" w:history="1">
        <w:r w:rsidR="004E7FC9" w:rsidRPr="00162BC3">
          <w:rPr>
            <w:rFonts w:ascii="Times New Roman" w:eastAsia="Times New Roman" w:hAnsi="Times New Roman" w:cs="Times New Roman"/>
            <w:sz w:val="25"/>
            <w:szCs w:val="25"/>
          </w:rPr>
          <w:t>Section 17-B</w:t>
        </w:r>
      </w:hyperlink>
      <w:r w:rsidR="004E7FC9" w:rsidRPr="00162BC3">
        <w:rPr>
          <w:rFonts w:ascii="Times New Roman" w:eastAsia="Times New Roman" w:hAnsi="Times New Roman" w:cs="Times New Roman"/>
          <w:sz w:val="25"/>
          <w:szCs w:val="25"/>
        </w:rPr>
        <w:t> of the aforesaid Act. The appeal is accordingly disposed of.</w:t>
      </w:r>
    </w:p>
    <w:p w:rsidR="00162BC3" w:rsidRPr="00162BC3" w:rsidRDefault="00162BC3" w:rsidP="00162BC3">
      <w:pPr>
        <w:spacing w:after="0" w:line="240" w:lineRule="auto"/>
        <w:jc w:val="both"/>
        <w:rPr>
          <w:rFonts w:ascii="Times New Roman" w:eastAsia="Times New Roman" w:hAnsi="Times New Roman" w:cs="Times New Roman"/>
          <w:sz w:val="25"/>
          <w:szCs w:val="25"/>
        </w:rPr>
      </w:pPr>
    </w:p>
    <w:p w:rsidR="004E7FC9" w:rsidRDefault="00162BC3" w:rsidP="00162B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4E7FC9" w:rsidRPr="00162BC3">
        <w:rPr>
          <w:rFonts w:ascii="Times New Roman" w:eastAsia="Times New Roman" w:hAnsi="Times New Roman" w:cs="Times New Roman"/>
          <w:sz w:val="25"/>
          <w:szCs w:val="25"/>
        </w:rPr>
        <w:t>There will be no orders as to costs.</w:t>
      </w:r>
    </w:p>
    <w:p w:rsidR="00162BC3" w:rsidRPr="00162BC3" w:rsidRDefault="00162BC3" w:rsidP="00162BC3">
      <w:pPr>
        <w:spacing w:after="0" w:line="240" w:lineRule="auto"/>
        <w:jc w:val="both"/>
        <w:rPr>
          <w:rFonts w:ascii="Times New Roman" w:eastAsia="Times New Roman" w:hAnsi="Times New Roman" w:cs="Times New Roman"/>
          <w:sz w:val="25"/>
          <w:szCs w:val="25"/>
        </w:rPr>
      </w:pPr>
    </w:p>
    <w:p w:rsidR="004E7FC9" w:rsidRPr="00162BC3" w:rsidRDefault="00162BC3" w:rsidP="00162B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4E7FC9" w:rsidRPr="00162BC3">
        <w:rPr>
          <w:rFonts w:ascii="Times New Roman" w:eastAsia="Times New Roman" w:hAnsi="Times New Roman" w:cs="Times New Roman"/>
          <w:sz w:val="25"/>
          <w:szCs w:val="25"/>
        </w:rPr>
        <w:t>This order will be operative from the date of the order of reinstatement passed by the learned Single Judge of the High Court.</w:t>
      </w:r>
    </w:p>
    <w:p w:rsidR="006D13B7" w:rsidRDefault="006D13B7" w:rsidP="00162BC3">
      <w:pPr>
        <w:spacing w:after="0" w:line="240" w:lineRule="auto"/>
        <w:jc w:val="both"/>
        <w:rPr>
          <w:rFonts w:ascii="Times New Roman" w:hAnsi="Times New Roman" w:cs="Times New Roman"/>
          <w:sz w:val="25"/>
          <w:szCs w:val="25"/>
        </w:rPr>
      </w:pPr>
    </w:p>
    <w:p w:rsidR="00162BC3" w:rsidRDefault="00162BC3" w:rsidP="00162B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62BC3" w:rsidRDefault="00162BC3" w:rsidP="00162BC3">
      <w:pPr>
        <w:spacing w:after="0" w:line="240" w:lineRule="auto"/>
        <w:jc w:val="both"/>
        <w:rPr>
          <w:rFonts w:ascii="Times New Roman" w:hAnsi="Times New Roman" w:cs="Times New Roman"/>
          <w:sz w:val="25"/>
          <w:szCs w:val="25"/>
        </w:rPr>
      </w:pPr>
    </w:p>
    <w:p w:rsidR="00162BC3" w:rsidRPr="00162BC3" w:rsidRDefault="00162BC3" w:rsidP="00162BC3">
      <w:pPr>
        <w:spacing w:after="0" w:line="240" w:lineRule="auto"/>
        <w:jc w:val="both"/>
        <w:rPr>
          <w:rFonts w:ascii="Times New Roman" w:hAnsi="Times New Roman" w:cs="Times New Roman"/>
          <w:sz w:val="20"/>
          <w:szCs w:val="20"/>
        </w:rPr>
      </w:pPr>
      <w:r w:rsidRPr="00162BC3">
        <w:rPr>
          <w:rFonts w:ascii="Times New Roman" w:eastAsia="Times New Roman" w:hAnsi="Times New Roman" w:cs="Times New Roman"/>
          <w:i/>
          <w:sz w:val="20"/>
          <w:szCs w:val="20"/>
          <w:vertAlign w:val="superscript"/>
        </w:rPr>
        <w:lastRenderedPageBreak/>
        <w:t>1</w:t>
      </w:r>
      <w:r w:rsidRPr="00162BC3">
        <w:rPr>
          <w:rFonts w:ascii="Times New Roman" w:eastAsia="Times New Roman" w:hAnsi="Times New Roman" w:cs="Times New Roman"/>
          <w:i/>
          <w:sz w:val="20"/>
          <w:szCs w:val="20"/>
        </w:rPr>
        <w:t>(1999) 2 SCC 0106</w:t>
      </w:r>
    </w:p>
    <w:sectPr w:rsidR="00162BC3" w:rsidRPr="00162BC3" w:rsidSect="002B1EBF">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099" w:rsidRDefault="00701099" w:rsidP="00162BC3">
      <w:pPr>
        <w:spacing w:after="0" w:line="240" w:lineRule="auto"/>
      </w:pPr>
      <w:r>
        <w:separator/>
      </w:r>
    </w:p>
  </w:endnote>
  <w:endnote w:type="continuationSeparator" w:id="1">
    <w:p w:rsidR="00701099" w:rsidRDefault="00701099" w:rsidP="00162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380266"/>
      <w:docPartObj>
        <w:docPartGallery w:val="Page Numbers (Bottom of Page)"/>
        <w:docPartUnique/>
      </w:docPartObj>
    </w:sdtPr>
    <w:sdtContent>
      <w:p w:rsidR="00162BC3" w:rsidRPr="00162BC3" w:rsidRDefault="00162BC3">
        <w:pPr>
          <w:pStyle w:val="Footer"/>
          <w:jc w:val="center"/>
          <w:rPr>
            <w:rFonts w:ascii="Times New Roman" w:hAnsi="Times New Roman" w:cs="Times New Roman"/>
          </w:rPr>
        </w:pPr>
        <w:r w:rsidRPr="00162BC3">
          <w:rPr>
            <w:rFonts w:ascii="Times New Roman" w:hAnsi="Times New Roman" w:cs="Times New Roman"/>
          </w:rPr>
          <w:t xml:space="preserve">                                                                </w:t>
        </w:r>
        <w:r w:rsidRPr="00162BC3">
          <w:rPr>
            <w:rFonts w:ascii="Times New Roman" w:hAnsi="Times New Roman" w:cs="Times New Roman"/>
          </w:rPr>
          <w:fldChar w:fldCharType="begin"/>
        </w:r>
        <w:r w:rsidRPr="00162BC3">
          <w:rPr>
            <w:rFonts w:ascii="Times New Roman" w:hAnsi="Times New Roman" w:cs="Times New Roman"/>
          </w:rPr>
          <w:instrText xml:space="preserve"> PAGE   \* MERGEFORMAT </w:instrText>
        </w:r>
        <w:r w:rsidRPr="00162BC3">
          <w:rPr>
            <w:rFonts w:ascii="Times New Roman" w:hAnsi="Times New Roman" w:cs="Times New Roman"/>
          </w:rPr>
          <w:fldChar w:fldCharType="separate"/>
        </w:r>
        <w:r>
          <w:rPr>
            <w:rFonts w:ascii="Times New Roman" w:hAnsi="Times New Roman" w:cs="Times New Roman"/>
            <w:noProof/>
          </w:rPr>
          <w:t>3</w:t>
        </w:r>
        <w:r w:rsidRPr="00162BC3">
          <w:rPr>
            <w:rFonts w:ascii="Times New Roman" w:hAnsi="Times New Roman" w:cs="Times New Roman"/>
          </w:rPr>
          <w:fldChar w:fldCharType="end"/>
        </w:r>
        <w:r w:rsidRPr="00162BC3">
          <w:rPr>
            <w:rFonts w:ascii="Times New Roman" w:hAnsi="Times New Roman" w:cs="Times New Roman"/>
          </w:rPr>
          <w:t xml:space="preserve">                                                                              SpotLaw</w:t>
        </w:r>
      </w:p>
    </w:sdtContent>
  </w:sdt>
  <w:p w:rsidR="00162BC3" w:rsidRPr="00162BC3" w:rsidRDefault="00162BC3">
    <w:pPr>
      <w:pStyle w:val="Footer"/>
      <w:rPr>
        <w:rFonts w:ascii="Times New Roman" w:hAnsi="Times New Roman" w:cs="Times New Roman"/>
      </w:rPr>
    </w:pPr>
    <w:r w:rsidRPr="00162BC3">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099" w:rsidRDefault="00701099" w:rsidP="00162BC3">
      <w:pPr>
        <w:spacing w:after="0" w:line="240" w:lineRule="auto"/>
      </w:pPr>
      <w:r>
        <w:separator/>
      </w:r>
    </w:p>
  </w:footnote>
  <w:footnote w:type="continuationSeparator" w:id="1">
    <w:p w:rsidR="00701099" w:rsidRDefault="00701099" w:rsidP="00162B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2BC3"/>
    <w:rsid w:val="0016495C"/>
    <w:rsid w:val="00176812"/>
    <w:rsid w:val="001F749A"/>
    <w:rsid w:val="00200C53"/>
    <w:rsid w:val="002025CF"/>
    <w:rsid w:val="00236745"/>
    <w:rsid w:val="002B1EBF"/>
    <w:rsid w:val="00314A66"/>
    <w:rsid w:val="00332904"/>
    <w:rsid w:val="003774A9"/>
    <w:rsid w:val="00412DA4"/>
    <w:rsid w:val="004606F1"/>
    <w:rsid w:val="004E2429"/>
    <w:rsid w:val="004E7FC9"/>
    <w:rsid w:val="005129D6"/>
    <w:rsid w:val="0062019E"/>
    <w:rsid w:val="006D13B7"/>
    <w:rsid w:val="006E5E38"/>
    <w:rsid w:val="00701099"/>
    <w:rsid w:val="0070119D"/>
    <w:rsid w:val="00790F4A"/>
    <w:rsid w:val="008122B2"/>
    <w:rsid w:val="008835E4"/>
    <w:rsid w:val="009161E9"/>
    <w:rsid w:val="00967050"/>
    <w:rsid w:val="009732B5"/>
    <w:rsid w:val="00A02AF8"/>
    <w:rsid w:val="00B47019"/>
    <w:rsid w:val="00B873AF"/>
    <w:rsid w:val="00BC6723"/>
    <w:rsid w:val="00C04BC6"/>
    <w:rsid w:val="00C352D7"/>
    <w:rsid w:val="00C90805"/>
    <w:rsid w:val="00CA4026"/>
    <w:rsid w:val="00D056CA"/>
    <w:rsid w:val="00D74CA3"/>
    <w:rsid w:val="00E1208F"/>
    <w:rsid w:val="00E355ED"/>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162BC3"/>
    <w:pPr>
      <w:ind w:left="720"/>
      <w:contextualSpacing/>
    </w:pPr>
  </w:style>
  <w:style w:type="paragraph" w:styleId="Header">
    <w:name w:val="header"/>
    <w:basedOn w:val="Normal"/>
    <w:link w:val="HeaderChar"/>
    <w:uiPriority w:val="99"/>
    <w:semiHidden/>
    <w:unhideWhenUsed/>
    <w:rsid w:val="00162B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2BC3"/>
  </w:style>
  <w:style w:type="paragraph" w:styleId="Footer">
    <w:name w:val="footer"/>
    <w:basedOn w:val="Normal"/>
    <w:link w:val="FooterChar"/>
    <w:uiPriority w:val="99"/>
    <w:unhideWhenUsed/>
    <w:rsid w:val="00162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C3"/>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770112/" TargetMode="External"/><Relationship Id="rId13" Type="http://schemas.openxmlformats.org/officeDocument/2006/relationships/hyperlink" Target="http://indiankanoon.org/doc/770112/" TargetMode="External"/><Relationship Id="rId18" Type="http://schemas.openxmlformats.org/officeDocument/2006/relationships/hyperlink" Target="http://indiankanoon.org/doc/77011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indiankanoon.org/doc/770112/" TargetMode="External"/><Relationship Id="rId12" Type="http://schemas.openxmlformats.org/officeDocument/2006/relationships/hyperlink" Target="http://indiankanoon.org/doc/770112/" TargetMode="External"/><Relationship Id="rId17" Type="http://schemas.openxmlformats.org/officeDocument/2006/relationships/hyperlink" Target="http://indiankanoon.org/doc/770112/" TargetMode="External"/><Relationship Id="rId2" Type="http://schemas.openxmlformats.org/officeDocument/2006/relationships/settings" Target="settings.xml"/><Relationship Id="rId16" Type="http://schemas.openxmlformats.org/officeDocument/2006/relationships/hyperlink" Target="http://indiankanoon.org/doc/427855/"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indiankanoon.org/doc/770112/" TargetMode="External"/><Relationship Id="rId11" Type="http://schemas.openxmlformats.org/officeDocument/2006/relationships/hyperlink" Target="http://indiankanoon.org/doc/500379/" TargetMode="External"/><Relationship Id="rId5" Type="http://schemas.openxmlformats.org/officeDocument/2006/relationships/endnotes" Target="endnotes.xml"/><Relationship Id="rId15" Type="http://schemas.openxmlformats.org/officeDocument/2006/relationships/hyperlink" Target="http://indiankanoon.org/doc/770112/" TargetMode="External"/><Relationship Id="rId10" Type="http://schemas.openxmlformats.org/officeDocument/2006/relationships/hyperlink" Target="http://indiankanoon.org/doc/770112/" TargetMode="External"/><Relationship Id="rId19" Type="http://schemas.openxmlformats.org/officeDocument/2006/relationships/hyperlink" Target="http://indiankanoon.org/doc/770112/" TargetMode="External"/><Relationship Id="rId4" Type="http://schemas.openxmlformats.org/officeDocument/2006/relationships/footnotes" Target="footnotes.xml"/><Relationship Id="rId9" Type="http://schemas.openxmlformats.org/officeDocument/2006/relationships/hyperlink" Target="http://indiankanoon.org/doc/770112/" TargetMode="External"/><Relationship Id="rId14" Type="http://schemas.openxmlformats.org/officeDocument/2006/relationships/hyperlink" Target="http://indiankanoon.org/doc/7701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2016-02-18T12:46:00Z</dcterms:created>
  <dcterms:modified xsi:type="dcterms:W3CDTF">2016-02-18T12:46:00Z</dcterms:modified>
</cp:coreProperties>
</file>