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545" w:rsidRPr="000A2545" w:rsidRDefault="000A2545" w:rsidP="000A2545">
      <w:pPr>
        <w:spacing w:after="0" w:line="240" w:lineRule="auto"/>
        <w:jc w:val="center"/>
        <w:rPr>
          <w:rFonts w:ascii="Times New Roman" w:eastAsia="Times New Roman" w:hAnsi="Times New Roman" w:cs="Times New Roman"/>
          <w:color w:val="000000"/>
          <w:sz w:val="25"/>
          <w:szCs w:val="25"/>
        </w:rPr>
      </w:pPr>
      <w:r w:rsidRPr="000A2545">
        <w:rPr>
          <w:rFonts w:ascii="Times New Roman" w:eastAsia="Times New Roman" w:hAnsi="Times New Roman" w:cs="Times New Roman"/>
          <w:b/>
          <w:bCs/>
          <w:color w:val="000000"/>
          <w:sz w:val="25"/>
          <w:szCs w:val="25"/>
        </w:rPr>
        <w:t>SUPREME COURT OF INDIA</w:t>
      </w:r>
    </w:p>
    <w:p w:rsidR="000A2545" w:rsidRPr="000A2545" w:rsidRDefault="000A2545" w:rsidP="000A2545">
      <w:pPr>
        <w:spacing w:after="0" w:line="240" w:lineRule="auto"/>
        <w:jc w:val="center"/>
        <w:rPr>
          <w:rFonts w:ascii="Times New Roman" w:eastAsia="Times New Roman" w:hAnsi="Times New Roman" w:cs="Times New Roman"/>
          <w:color w:val="000000"/>
          <w:sz w:val="25"/>
          <w:szCs w:val="25"/>
        </w:rPr>
      </w:pPr>
    </w:p>
    <w:p w:rsidR="000A2545" w:rsidRPr="000A2545" w:rsidRDefault="000A2545" w:rsidP="000A2545">
      <w:pPr>
        <w:spacing w:after="0" w:line="240" w:lineRule="auto"/>
        <w:jc w:val="center"/>
        <w:rPr>
          <w:rFonts w:ascii="Times New Roman" w:eastAsia="Times New Roman" w:hAnsi="Times New Roman" w:cs="Times New Roman"/>
          <w:color w:val="000000"/>
          <w:sz w:val="25"/>
          <w:szCs w:val="25"/>
        </w:rPr>
      </w:pPr>
      <w:r w:rsidRPr="000A2545">
        <w:rPr>
          <w:rFonts w:ascii="Times New Roman" w:eastAsia="Times New Roman" w:hAnsi="Times New Roman" w:cs="Times New Roman"/>
          <w:color w:val="000000"/>
          <w:sz w:val="25"/>
          <w:szCs w:val="25"/>
        </w:rPr>
        <w:t>Emm Tex Synthetics</w:t>
      </w:r>
    </w:p>
    <w:p w:rsidR="000A2545" w:rsidRPr="000A2545" w:rsidRDefault="000A2545" w:rsidP="000A2545">
      <w:pPr>
        <w:spacing w:after="0" w:line="240" w:lineRule="auto"/>
        <w:jc w:val="center"/>
        <w:rPr>
          <w:rFonts w:ascii="Times New Roman" w:eastAsia="Times New Roman" w:hAnsi="Times New Roman" w:cs="Times New Roman"/>
          <w:color w:val="000000"/>
          <w:sz w:val="25"/>
          <w:szCs w:val="25"/>
        </w:rPr>
      </w:pPr>
    </w:p>
    <w:p w:rsidR="000A2545" w:rsidRPr="000A2545" w:rsidRDefault="000A2545" w:rsidP="000A2545">
      <w:pPr>
        <w:spacing w:after="0" w:line="240" w:lineRule="auto"/>
        <w:jc w:val="center"/>
        <w:rPr>
          <w:rFonts w:ascii="Times New Roman" w:eastAsia="Times New Roman" w:hAnsi="Times New Roman" w:cs="Times New Roman"/>
          <w:color w:val="000000"/>
          <w:sz w:val="25"/>
          <w:szCs w:val="25"/>
        </w:rPr>
      </w:pPr>
      <w:r w:rsidRPr="000A2545">
        <w:rPr>
          <w:rFonts w:ascii="Times New Roman" w:eastAsia="Times New Roman" w:hAnsi="Times New Roman" w:cs="Times New Roman"/>
          <w:color w:val="000000"/>
          <w:sz w:val="25"/>
          <w:szCs w:val="25"/>
        </w:rPr>
        <w:t>Vs.</w:t>
      </w:r>
    </w:p>
    <w:p w:rsidR="000A2545" w:rsidRPr="000A2545" w:rsidRDefault="000A2545" w:rsidP="000A2545">
      <w:pPr>
        <w:spacing w:after="0" w:line="240" w:lineRule="auto"/>
        <w:jc w:val="center"/>
        <w:rPr>
          <w:rFonts w:ascii="Times New Roman" w:eastAsia="Times New Roman" w:hAnsi="Times New Roman" w:cs="Times New Roman"/>
          <w:color w:val="000000"/>
          <w:sz w:val="25"/>
          <w:szCs w:val="25"/>
        </w:rPr>
      </w:pPr>
    </w:p>
    <w:p w:rsidR="000A2545" w:rsidRPr="000A2545" w:rsidRDefault="000A2545" w:rsidP="000A2545">
      <w:pPr>
        <w:spacing w:after="0" w:line="240" w:lineRule="auto"/>
        <w:jc w:val="center"/>
        <w:rPr>
          <w:rFonts w:ascii="Times New Roman" w:eastAsia="Times New Roman" w:hAnsi="Times New Roman" w:cs="Times New Roman"/>
          <w:color w:val="000000"/>
          <w:sz w:val="25"/>
          <w:szCs w:val="25"/>
        </w:rPr>
      </w:pPr>
      <w:r w:rsidRPr="000A2545">
        <w:rPr>
          <w:rFonts w:ascii="Times New Roman" w:eastAsia="Times New Roman" w:hAnsi="Times New Roman" w:cs="Times New Roman"/>
          <w:color w:val="000000"/>
          <w:sz w:val="25"/>
          <w:szCs w:val="25"/>
        </w:rPr>
        <w:t>Om Parkash</w:t>
      </w:r>
    </w:p>
    <w:p w:rsidR="000A2545" w:rsidRPr="000A2545" w:rsidRDefault="000A2545" w:rsidP="000A2545">
      <w:pPr>
        <w:spacing w:after="0" w:line="240" w:lineRule="auto"/>
        <w:jc w:val="center"/>
        <w:rPr>
          <w:rFonts w:ascii="Times New Roman" w:eastAsia="Times New Roman" w:hAnsi="Times New Roman" w:cs="Times New Roman"/>
          <w:color w:val="000000"/>
          <w:sz w:val="25"/>
          <w:szCs w:val="25"/>
        </w:rPr>
      </w:pPr>
    </w:p>
    <w:p w:rsidR="000A2545" w:rsidRPr="000A2545" w:rsidRDefault="000A2545" w:rsidP="000A2545">
      <w:pPr>
        <w:spacing w:after="0" w:line="240" w:lineRule="auto"/>
        <w:jc w:val="center"/>
        <w:rPr>
          <w:rFonts w:ascii="Times New Roman" w:eastAsia="Times New Roman" w:hAnsi="Times New Roman" w:cs="Times New Roman"/>
          <w:color w:val="000000"/>
          <w:sz w:val="25"/>
          <w:szCs w:val="25"/>
        </w:rPr>
      </w:pPr>
      <w:r w:rsidRPr="000A2545">
        <w:rPr>
          <w:rFonts w:ascii="Times New Roman" w:eastAsia="Times New Roman" w:hAnsi="Times New Roman" w:cs="Times New Roman"/>
          <w:color w:val="000000"/>
          <w:sz w:val="25"/>
          <w:szCs w:val="25"/>
        </w:rPr>
        <w:t>C.A.No.2088 of 2008</w:t>
      </w:r>
    </w:p>
    <w:p w:rsidR="000A2545" w:rsidRPr="000A2545" w:rsidRDefault="000A2545" w:rsidP="000A2545">
      <w:pPr>
        <w:spacing w:after="0" w:line="240" w:lineRule="auto"/>
        <w:jc w:val="center"/>
        <w:rPr>
          <w:rFonts w:ascii="Times New Roman" w:eastAsia="Times New Roman" w:hAnsi="Times New Roman" w:cs="Times New Roman"/>
          <w:color w:val="000000"/>
          <w:sz w:val="25"/>
          <w:szCs w:val="25"/>
        </w:rPr>
      </w:pPr>
    </w:p>
    <w:p w:rsidR="000A2545" w:rsidRPr="000A2545" w:rsidRDefault="000A2545" w:rsidP="000A2545">
      <w:pPr>
        <w:spacing w:after="0" w:line="240" w:lineRule="auto"/>
        <w:jc w:val="center"/>
        <w:rPr>
          <w:rFonts w:ascii="Times New Roman" w:eastAsia="Times New Roman" w:hAnsi="Times New Roman" w:cs="Times New Roman"/>
          <w:color w:val="000000"/>
          <w:sz w:val="25"/>
          <w:szCs w:val="25"/>
        </w:rPr>
      </w:pPr>
      <w:r w:rsidRPr="000A2545">
        <w:rPr>
          <w:rFonts w:ascii="Times New Roman" w:eastAsia="Times New Roman" w:hAnsi="Times New Roman" w:cs="Times New Roman"/>
          <w:color w:val="000000"/>
          <w:sz w:val="25"/>
          <w:szCs w:val="25"/>
        </w:rPr>
        <w:t>(Tarun C</w:t>
      </w:r>
      <w:r>
        <w:rPr>
          <w:rFonts w:ascii="Times New Roman" w:eastAsia="Times New Roman" w:hAnsi="Times New Roman" w:cs="Times New Roman"/>
          <w:color w:val="000000"/>
          <w:sz w:val="25"/>
          <w:szCs w:val="25"/>
        </w:rPr>
        <w:t>hatterjee and Harjit Singh Bedi,</w:t>
      </w:r>
      <w:r w:rsidRPr="000A2545">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Pr="000A2545">
        <w:rPr>
          <w:rFonts w:ascii="Times New Roman" w:eastAsia="Times New Roman" w:hAnsi="Times New Roman" w:cs="Times New Roman"/>
          <w:color w:val="000000"/>
          <w:sz w:val="25"/>
          <w:szCs w:val="25"/>
        </w:rPr>
        <w:t>)</w:t>
      </w:r>
    </w:p>
    <w:p w:rsidR="000A2545" w:rsidRPr="000A2545" w:rsidRDefault="000A2545" w:rsidP="000A2545">
      <w:pPr>
        <w:spacing w:after="0" w:line="240" w:lineRule="auto"/>
        <w:jc w:val="center"/>
        <w:rPr>
          <w:rFonts w:ascii="Times New Roman" w:eastAsia="Times New Roman" w:hAnsi="Times New Roman" w:cs="Times New Roman"/>
          <w:color w:val="000000"/>
          <w:sz w:val="25"/>
          <w:szCs w:val="25"/>
        </w:rPr>
      </w:pPr>
    </w:p>
    <w:p w:rsidR="000A2545" w:rsidRPr="000A2545" w:rsidRDefault="000A2545" w:rsidP="000A2545">
      <w:pPr>
        <w:spacing w:after="0" w:line="240" w:lineRule="auto"/>
        <w:jc w:val="center"/>
        <w:rPr>
          <w:rFonts w:ascii="Times New Roman" w:eastAsia="Times New Roman" w:hAnsi="Times New Roman" w:cs="Times New Roman"/>
          <w:color w:val="000000"/>
          <w:sz w:val="25"/>
          <w:szCs w:val="25"/>
        </w:rPr>
      </w:pPr>
      <w:r w:rsidRPr="000A2545">
        <w:rPr>
          <w:rFonts w:ascii="Times New Roman" w:eastAsia="Times New Roman" w:hAnsi="Times New Roman" w:cs="Times New Roman"/>
          <w:color w:val="000000"/>
          <w:sz w:val="25"/>
          <w:szCs w:val="25"/>
        </w:rPr>
        <w:t>25.03.2008</w:t>
      </w:r>
    </w:p>
    <w:p w:rsidR="000A2545" w:rsidRPr="000A2545" w:rsidRDefault="000A2545" w:rsidP="000A2545">
      <w:pPr>
        <w:spacing w:after="0" w:line="240" w:lineRule="auto"/>
        <w:jc w:val="center"/>
        <w:rPr>
          <w:rFonts w:ascii="Times New Roman" w:eastAsia="Times New Roman" w:hAnsi="Times New Roman" w:cs="Times New Roman"/>
          <w:color w:val="000000"/>
          <w:sz w:val="25"/>
          <w:szCs w:val="25"/>
        </w:rPr>
      </w:pPr>
    </w:p>
    <w:p w:rsidR="000A2545" w:rsidRPr="000A2545" w:rsidRDefault="000A2545" w:rsidP="000A2545">
      <w:pPr>
        <w:spacing w:after="0" w:line="240" w:lineRule="auto"/>
        <w:jc w:val="center"/>
        <w:rPr>
          <w:rFonts w:ascii="Times New Roman" w:eastAsia="Times New Roman" w:hAnsi="Times New Roman" w:cs="Times New Roman"/>
          <w:color w:val="000000"/>
          <w:sz w:val="25"/>
          <w:szCs w:val="25"/>
        </w:rPr>
      </w:pPr>
      <w:r w:rsidRPr="000A2545">
        <w:rPr>
          <w:rFonts w:ascii="Times New Roman" w:eastAsia="Times New Roman" w:hAnsi="Times New Roman" w:cs="Times New Roman"/>
          <w:b/>
          <w:bCs/>
          <w:color w:val="000000"/>
          <w:sz w:val="25"/>
          <w:szCs w:val="25"/>
        </w:rPr>
        <w:t>ORDER</w:t>
      </w:r>
    </w:p>
    <w:p w:rsidR="000A2545" w:rsidRPr="000A2545" w:rsidRDefault="000A2545" w:rsidP="000A2545">
      <w:pPr>
        <w:spacing w:after="0" w:line="240" w:lineRule="auto"/>
        <w:jc w:val="center"/>
        <w:rPr>
          <w:rFonts w:ascii="Times New Roman" w:eastAsia="Times New Roman" w:hAnsi="Times New Roman" w:cs="Times New Roman"/>
          <w:color w:val="000000"/>
          <w:sz w:val="25"/>
          <w:szCs w:val="25"/>
        </w:rPr>
      </w:pPr>
    </w:p>
    <w:p w:rsidR="000A2545" w:rsidRPr="000A2545" w:rsidRDefault="000A2545" w:rsidP="000A2545">
      <w:pPr>
        <w:spacing w:after="0" w:line="240" w:lineRule="auto"/>
        <w:jc w:val="both"/>
        <w:rPr>
          <w:rFonts w:ascii="Times New Roman" w:eastAsia="Times New Roman" w:hAnsi="Times New Roman" w:cs="Times New Roman"/>
          <w:color w:val="000000"/>
          <w:sz w:val="25"/>
          <w:szCs w:val="25"/>
        </w:rPr>
      </w:pPr>
      <w:r w:rsidRPr="000A2545">
        <w:rPr>
          <w:rFonts w:ascii="Times New Roman" w:eastAsia="Times New Roman" w:hAnsi="Times New Roman" w:cs="Times New Roman"/>
          <w:color w:val="000000"/>
          <w:sz w:val="25"/>
          <w:szCs w:val="25"/>
        </w:rPr>
        <w:t>1. Leave granted. </w:t>
      </w:r>
    </w:p>
    <w:p w:rsidR="000A2545" w:rsidRPr="000A2545" w:rsidRDefault="000A2545" w:rsidP="000A2545">
      <w:pPr>
        <w:spacing w:after="0" w:line="240" w:lineRule="auto"/>
        <w:jc w:val="both"/>
        <w:rPr>
          <w:rFonts w:ascii="Times New Roman" w:eastAsia="Times New Roman" w:hAnsi="Times New Roman" w:cs="Times New Roman"/>
          <w:color w:val="000000"/>
          <w:sz w:val="25"/>
          <w:szCs w:val="25"/>
        </w:rPr>
      </w:pPr>
      <w:r w:rsidRPr="000A2545">
        <w:rPr>
          <w:rFonts w:ascii="Times New Roman" w:eastAsia="Times New Roman" w:hAnsi="Times New Roman" w:cs="Times New Roman"/>
          <w:color w:val="000000"/>
          <w:sz w:val="25"/>
          <w:szCs w:val="25"/>
        </w:rPr>
        <w:t> </w:t>
      </w:r>
    </w:p>
    <w:p w:rsidR="000A2545" w:rsidRPr="000A2545" w:rsidRDefault="000A2545" w:rsidP="000A2545">
      <w:pPr>
        <w:spacing w:after="0" w:line="240" w:lineRule="auto"/>
        <w:jc w:val="both"/>
        <w:rPr>
          <w:rFonts w:ascii="Times New Roman" w:eastAsia="Times New Roman" w:hAnsi="Times New Roman" w:cs="Times New Roman"/>
          <w:color w:val="000000"/>
          <w:sz w:val="25"/>
          <w:szCs w:val="25"/>
        </w:rPr>
      </w:pPr>
      <w:r w:rsidRPr="000A2545">
        <w:rPr>
          <w:rFonts w:ascii="Times New Roman" w:eastAsia="Times New Roman" w:hAnsi="Times New Roman" w:cs="Times New Roman"/>
          <w:color w:val="000000"/>
          <w:sz w:val="25"/>
          <w:szCs w:val="25"/>
        </w:rPr>
        <w:t>2. In spite of due service on the respondents, no one has entered appearance.  At the time of hearing of this appeal also, no one has appeared before us to contest the appeal. </w:t>
      </w:r>
    </w:p>
    <w:p w:rsidR="000A2545" w:rsidRPr="000A2545" w:rsidRDefault="000A2545" w:rsidP="000A2545">
      <w:pPr>
        <w:spacing w:after="0" w:line="240" w:lineRule="auto"/>
        <w:jc w:val="both"/>
        <w:rPr>
          <w:rFonts w:ascii="Times New Roman" w:eastAsia="Times New Roman" w:hAnsi="Times New Roman" w:cs="Times New Roman"/>
          <w:color w:val="000000"/>
          <w:sz w:val="25"/>
          <w:szCs w:val="25"/>
        </w:rPr>
      </w:pPr>
      <w:r w:rsidRPr="000A2545">
        <w:rPr>
          <w:rFonts w:ascii="Times New Roman" w:eastAsia="Times New Roman" w:hAnsi="Times New Roman" w:cs="Times New Roman"/>
          <w:color w:val="000000"/>
          <w:sz w:val="25"/>
          <w:szCs w:val="25"/>
        </w:rPr>
        <w:t> </w:t>
      </w:r>
    </w:p>
    <w:p w:rsidR="000A2545" w:rsidRPr="000A2545" w:rsidRDefault="000A2545" w:rsidP="000A2545">
      <w:pPr>
        <w:spacing w:after="0" w:line="240" w:lineRule="auto"/>
        <w:jc w:val="both"/>
        <w:rPr>
          <w:rFonts w:ascii="Times New Roman" w:eastAsia="Times New Roman" w:hAnsi="Times New Roman" w:cs="Times New Roman"/>
          <w:color w:val="000000"/>
          <w:sz w:val="25"/>
          <w:szCs w:val="25"/>
        </w:rPr>
      </w:pPr>
      <w:r w:rsidRPr="000A2545">
        <w:rPr>
          <w:rFonts w:ascii="Times New Roman" w:eastAsia="Times New Roman" w:hAnsi="Times New Roman" w:cs="Times New Roman"/>
          <w:color w:val="000000"/>
          <w:sz w:val="25"/>
          <w:szCs w:val="25"/>
        </w:rPr>
        <w:t>3. This appeal is directed against the Judgment and Order  dated 5th of December, 2006 passed by a learned Judge (Chief  Justice) of the High Court of Himachal Pradesh at Simla in CMP  (M) No. 821 of 2006, by which the High Court had dismissed the appeal on a technical ground that the appeal was not maintainable under Section 30 (1)(a) of the Workmen</w:t>
      </w:r>
      <w:r w:rsidRPr="000A2545">
        <w:rPr>
          <w:rFonts w:ascii="Times New Roman" w:eastAsia="Times New Roman" w:hAnsi="Times New Roman" w:cs="Times New Roman"/>
          <w:color w:val="000000"/>
          <w:sz w:val="25"/>
          <w:szCs w:val="25"/>
        </w:rPr>
        <w:t xml:space="preserve">s Compensation Act, 1923 (in short the </w:t>
      </w:r>
      <w:r w:rsidRPr="000A2545">
        <w:rPr>
          <w:rFonts w:ascii="Times New Roman" w:eastAsia="Times New Roman" w:hAnsi="Times New Roman" w:cs="Times New Roman"/>
          <w:color w:val="000000"/>
          <w:sz w:val="25"/>
          <w:szCs w:val="25"/>
        </w:rPr>
        <w:t>Act</w:t>
      </w:r>
      <w:r w:rsidRPr="000A2545">
        <w:rPr>
          <w:rFonts w:ascii="Times New Roman" w:eastAsia="Times New Roman" w:hAnsi="Times New Roman" w:cs="Times New Roman"/>
          <w:color w:val="000000"/>
          <w:sz w:val="25"/>
          <w:szCs w:val="25"/>
        </w:rPr>
        <w:t>) as the memorandum of appeal was not accompanied by a Certificate issued by the Commissioner, Workmen</w:t>
      </w:r>
      <w:r w:rsidRPr="000A2545">
        <w:rPr>
          <w:rFonts w:ascii="Times New Roman" w:eastAsia="Times New Roman" w:hAnsi="Times New Roman" w:cs="Times New Roman"/>
          <w:color w:val="000000"/>
          <w:sz w:val="25"/>
          <w:szCs w:val="25"/>
        </w:rPr>
        <w:t>s Compensation, to show that the appellant had deposited with him the amount payable under the order which was appealed. </w:t>
      </w:r>
    </w:p>
    <w:p w:rsidR="000A2545" w:rsidRPr="000A2545" w:rsidRDefault="000A2545" w:rsidP="000A2545">
      <w:pPr>
        <w:spacing w:after="0" w:line="240" w:lineRule="auto"/>
        <w:jc w:val="both"/>
        <w:rPr>
          <w:rFonts w:ascii="Times New Roman" w:eastAsia="Times New Roman" w:hAnsi="Times New Roman" w:cs="Times New Roman"/>
          <w:color w:val="000000"/>
          <w:sz w:val="25"/>
          <w:szCs w:val="25"/>
        </w:rPr>
      </w:pPr>
      <w:r w:rsidRPr="000A2545">
        <w:rPr>
          <w:rFonts w:ascii="Times New Roman" w:eastAsia="Times New Roman" w:hAnsi="Times New Roman" w:cs="Times New Roman"/>
          <w:color w:val="000000"/>
          <w:sz w:val="25"/>
          <w:szCs w:val="25"/>
        </w:rPr>
        <w:t> </w:t>
      </w:r>
    </w:p>
    <w:p w:rsidR="000A2545" w:rsidRPr="000A2545" w:rsidRDefault="000A2545" w:rsidP="000A2545">
      <w:pPr>
        <w:spacing w:after="0" w:line="240" w:lineRule="auto"/>
        <w:jc w:val="both"/>
        <w:rPr>
          <w:rFonts w:ascii="Times New Roman" w:eastAsia="Times New Roman" w:hAnsi="Times New Roman" w:cs="Times New Roman"/>
          <w:color w:val="000000"/>
          <w:sz w:val="25"/>
          <w:szCs w:val="25"/>
        </w:rPr>
      </w:pPr>
      <w:r w:rsidRPr="000A2545">
        <w:rPr>
          <w:rFonts w:ascii="Times New Roman" w:eastAsia="Times New Roman" w:hAnsi="Times New Roman" w:cs="Times New Roman"/>
          <w:color w:val="000000"/>
          <w:sz w:val="25"/>
          <w:szCs w:val="25"/>
        </w:rPr>
        <w:t>4. We have heard the learned counsel for the appellant and examined the relevant provisions made under Section 30 of the Act and other materials on record. After a careful examination, we are of the view that in the absence of any specified form of Certificate indicated in the Act or the Rules, it cannot be said that the Certificate produced by the appellant was not in compliance with Section 30 of the Act.  It is an admitted fact that the appellant had deposited the awarded amount by way of a Demand Draft duly received by the office of the Commissioner.  The Demand Draft was deposited along with a covering letter and the receipt was given on its copy.  The High Court had refused to accept it as a Certificate under the Act and therefore, dismissed the appeal. </w:t>
      </w:r>
    </w:p>
    <w:p w:rsidR="000A2545" w:rsidRPr="000A2545" w:rsidRDefault="000A2545" w:rsidP="000A2545">
      <w:pPr>
        <w:spacing w:after="0" w:line="240" w:lineRule="auto"/>
        <w:jc w:val="both"/>
        <w:rPr>
          <w:rFonts w:ascii="Times New Roman" w:eastAsia="Times New Roman" w:hAnsi="Times New Roman" w:cs="Times New Roman"/>
          <w:color w:val="000000"/>
          <w:sz w:val="25"/>
          <w:szCs w:val="25"/>
        </w:rPr>
      </w:pPr>
      <w:r w:rsidRPr="000A2545">
        <w:rPr>
          <w:rFonts w:ascii="Times New Roman" w:eastAsia="Times New Roman" w:hAnsi="Times New Roman" w:cs="Times New Roman"/>
          <w:color w:val="000000"/>
          <w:sz w:val="25"/>
          <w:szCs w:val="25"/>
        </w:rPr>
        <w:t> </w:t>
      </w:r>
    </w:p>
    <w:p w:rsidR="000A2545" w:rsidRPr="000A2545" w:rsidRDefault="000A2545" w:rsidP="000A2545">
      <w:pPr>
        <w:spacing w:after="0" w:line="240" w:lineRule="auto"/>
        <w:jc w:val="both"/>
        <w:rPr>
          <w:rFonts w:ascii="Times New Roman" w:eastAsia="Times New Roman" w:hAnsi="Times New Roman" w:cs="Times New Roman"/>
          <w:color w:val="000000"/>
          <w:sz w:val="25"/>
          <w:szCs w:val="25"/>
        </w:rPr>
      </w:pPr>
      <w:r w:rsidRPr="000A2545">
        <w:rPr>
          <w:rFonts w:ascii="Times New Roman" w:eastAsia="Times New Roman" w:hAnsi="Times New Roman" w:cs="Times New Roman"/>
          <w:color w:val="000000"/>
          <w:sz w:val="25"/>
          <w:szCs w:val="25"/>
        </w:rPr>
        <w:t>5. In our view, in the absence of any specified form of Certificate, a proof of deposit of compensation would be a substantial compliance of Section 30 of the Act.  Therefore, the appellant could not be thrown out on such a technical ground. </w:t>
      </w:r>
    </w:p>
    <w:p w:rsidR="000A2545" w:rsidRPr="000A2545" w:rsidRDefault="000A2545" w:rsidP="000A2545">
      <w:pPr>
        <w:spacing w:after="0" w:line="240" w:lineRule="auto"/>
        <w:jc w:val="both"/>
        <w:rPr>
          <w:rFonts w:ascii="Times New Roman" w:eastAsia="Times New Roman" w:hAnsi="Times New Roman" w:cs="Times New Roman"/>
          <w:color w:val="000000"/>
          <w:sz w:val="25"/>
          <w:szCs w:val="25"/>
        </w:rPr>
      </w:pPr>
      <w:r w:rsidRPr="000A2545">
        <w:rPr>
          <w:rFonts w:ascii="Times New Roman" w:eastAsia="Times New Roman" w:hAnsi="Times New Roman" w:cs="Times New Roman"/>
          <w:color w:val="000000"/>
          <w:sz w:val="25"/>
          <w:szCs w:val="25"/>
        </w:rPr>
        <w:t> </w:t>
      </w:r>
    </w:p>
    <w:p w:rsidR="000A2545" w:rsidRPr="000A2545" w:rsidRDefault="000A2545" w:rsidP="000A2545">
      <w:pPr>
        <w:spacing w:after="0" w:line="240" w:lineRule="auto"/>
        <w:jc w:val="both"/>
        <w:rPr>
          <w:rFonts w:ascii="Times New Roman" w:eastAsia="Times New Roman" w:hAnsi="Times New Roman" w:cs="Times New Roman"/>
          <w:color w:val="000000"/>
          <w:sz w:val="25"/>
          <w:szCs w:val="25"/>
        </w:rPr>
      </w:pPr>
      <w:r w:rsidRPr="000A2545">
        <w:rPr>
          <w:rFonts w:ascii="Times New Roman" w:eastAsia="Times New Roman" w:hAnsi="Times New Roman" w:cs="Times New Roman"/>
          <w:color w:val="000000"/>
          <w:sz w:val="25"/>
          <w:szCs w:val="25"/>
        </w:rPr>
        <w:lastRenderedPageBreak/>
        <w:t>6. That being the position, we set aside the Judgment of the High Court and request the High Court to decide the appeal filed under Section 30 of the Act in accordance with law and after giving hearing to the parties, dispose of the same after passing a reasoned order within six months from the date of supply of a copy of this order. </w:t>
      </w:r>
    </w:p>
    <w:p w:rsidR="000A2545" w:rsidRPr="000A2545" w:rsidRDefault="000A2545" w:rsidP="000A2545">
      <w:pPr>
        <w:spacing w:after="0" w:line="240" w:lineRule="auto"/>
        <w:jc w:val="both"/>
        <w:rPr>
          <w:rFonts w:ascii="Times New Roman" w:eastAsia="Times New Roman" w:hAnsi="Times New Roman" w:cs="Times New Roman"/>
          <w:color w:val="000000"/>
          <w:sz w:val="25"/>
          <w:szCs w:val="25"/>
        </w:rPr>
      </w:pPr>
      <w:r w:rsidRPr="000A2545">
        <w:rPr>
          <w:rFonts w:ascii="Times New Roman" w:eastAsia="Times New Roman" w:hAnsi="Times New Roman" w:cs="Times New Roman"/>
          <w:color w:val="000000"/>
          <w:sz w:val="25"/>
          <w:szCs w:val="25"/>
        </w:rPr>
        <w:t> </w:t>
      </w:r>
    </w:p>
    <w:p w:rsidR="000A2545" w:rsidRPr="000A2545" w:rsidRDefault="000A2545" w:rsidP="000A2545">
      <w:pPr>
        <w:spacing w:after="0" w:line="240" w:lineRule="auto"/>
        <w:jc w:val="both"/>
        <w:rPr>
          <w:rFonts w:ascii="Times New Roman" w:eastAsia="Times New Roman" w:hAnsi="Times New Roman" w:cs="Times New Roman"/>
          <w:color w:val="000000"/>
          <w:sz w:val="25"/>
          <w:szCs w:val="25"/>
        </w:rPr>
      </w:pPr>
      <w:r w:rsidRPr="000A2545">
        <w:rPr>
          <w:rFonts w:ascii="Times New Roman" w:eastAsia="Times New Roman" w:hAnsi="Times New Roman" w:cs="Times New Roman"/>
          <w:color w:val="000000"/>
          <w:sz w:val="25"/>
          <w:szCs w:val="25"/>
        </w:rPr>
        <w:t>7. For the reasons aforesaid, the impugned order is set aside.  The appeal is allowed to the extent indicated above.  There will be no order as to costs.       </w:t>
      </w:r>
    </w:p>
    <w:p w:rsidR="00E8470C" w:rsidRPr="000A2545" w:rsidRDefault="00D76A11" w:rsidP="000A2545">
      <w:pPr>
        <w:spacing w:after="0" w:line="240" w:lineRule="auto"/>
        <w:jc w:val="both"/>
        <w:rPr>
          <w:sz w:val="25"/>
          <w:szCs w:val="25"/>
        </w:rPr>
      </w:pPr>
    </w:p>
    <w:sectPr w:rsidR="00E8470C" w:rsidRPr="000A2545" w:rsidSect="0040009A">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6A11" w:rsidRDefault="00D76A11" w:rsidP="000A2545">
      <w:pPr>
        <w:spacing w:after="0" w:line="240" w:lineRule="auto"/>
      </w:pPr>
      <w:r>
        <w:separator/>
      </w:r>
    </w:p>
  </w:endnote>
  <w:endnote w:type="continuationSeparator" w:id="1">
    <w:p w:rsidR="00D76A11" w:rsidRDefault="00D76A11" w:rsidP="000A25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7851141"/>
      <w:docPartObj>
        <w:docPartGallery w:val="Page Numbers (Bottom of Page)"/>
        <w:docPartUnique/>
      </w:docPartObj>
    </w:sdtPr>
    <w:sdtContent>
      <w:p w:rsidR="000A2545" w:rsidRPr="000A2545" w:rsidRDefault="000A2545">
        <w:pPr>
          <w:pStyle w:val="Footer"/>
          <w:jc w:val="center"/>
          <w:rPr>
            <w:rFonts w:ascii="Times New Roman" w:hAnsi="Times New Roman" w:cs="Times New Roman"/>
          </w:rPr>
        </w:pPr>
        <w:r w:rsidRPr="000A2545">
          <w:rPr>
            <w:rFonts w:ascii="Times New Roman" w:hAnsi="Times New Roman" w:cs="Times New Roman"/>
          </w:rPr>
          <w:t xml:space="preserve">                          </w:t>
        </w:r>
        <w:r>
          <w:rPr>
            <w:rFonts w:ascii="Times New Roman" w:hAnsi="Times New Roman" w:cs="Times New Roman"/>
          </w:rPr>
          <w:t xml:space="preserve">                           </w:t>
        </w:r>
        <w:r w:rsidRPr="000A2545">
          <w:rPr>
            <w:rFonts w:ascii="Times New Roman" w:hAnsi="Times New Roman" w:cs="Times New Roman"/>
          </w:rPr>
          <w:t xml:space="preserve">               </w:t>
        </w:r>
        <w:r w:rsidRPr="000A2545">
          <w:rPr>
            <w:rFonts w:ascii="Times New Roman" w:hAnsi="Times New Roman" w:cs="Times New Roman"/>
          </w:rPr>
          <w:fldChar w:fldCharType="begin"/>
        </w:r>
        <w:r w:rsidRPr="000A2545">
          <w:rPr>
            <w:rFonts w:ascii="Times New Roman" w:hAnsi="Times New Roman" w:cs="Times New Roman"/>
          </w:rPr>
          <w:instrText xml:space="preserve"> PAGE   \* MERGEFORMAT </w:instrText>
        </w:r>
        <w:r w:rsidRPr="000A2545">
          <w:rPr>
            <w:rFonts w:ascii="Times New Roman" w:hAnsi="Times New Roman" w:cs="Times New Roman"/>
          </w:rPr>
          <w:fldChar w:fldCharType="separate"/>
        </w:r>
        <w:r>
          <w:rPr>
            <w:rFonts w:ascii="Times New Roman" w:hAnsi="Times New Roman" w:cs="Times New Roman"/>
            <w:noProof/>
          </w:rPr>
          <w:t>2</w:t>
        </w:r>
        <w:r w:rsidRPr="000A2545">
          <w:rPr>
            <w:rFonts w:ascii="Times New Roman" w:hAnsi="Times New Roman" w:cs="Times New Roman"/>
          </w:rPr>
          <w:fldChar w:fldCharType="end"/>
        </w:r>
        <w:r w:rsidRPr="000A2545">
          <w:rPr>
            <w:rFonts w:ascii="Times New Roman" w:hAnsi="Times New Roman" w:cs="Times New Roman"/>
          </w:rPr>
          <w:t xml:space="preserve">                                                                                    SpotLaw</w:t>
        </w:r>
      </w:p>
    </w:sdtContent>
  </w:sdt>
  <w:p w:rsidR="000A2545" w:rsidRPr="000A2545" w:rsidRDefault="000A2545">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6A11" w:rsidRDefault="00D76A11" w:rsidP="000A2545">
      <w:pPr>
        <w:spacing w:after="0" w:line="240" w:lineRule="auto"/>
      </w:pPr>
      <w:r>
        <w:separator/>
      </w:r>
    </w:p>
  </w:footnote>
  <w:footnote w:type="continuationSeparator" w:id="1">
    <w:p w:rsidR="00D76A11" w:rsidRDefault="00D76A11" w:rsidP="000A254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A2545"/>
    <w:rsid w:val="000A2545"/>
    <w:rsid w:val="0040009A"/>
    <w:rsid w:val="00412DA4"/>
    <w:rsid w:val="00A02AF8"/>
    <w:rsid w:val="00D76A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0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A254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A2545"/>
  </w:style>
  <w:style w:type="paragraph" w:styleId="Footer">
    <w:name w:val="footer"/>
    <w:basedOn w:val="Normal"/>
    <w:link w:val="FooterChar"/>
    <w:uiPriority w:val="99"/>
    <w:unhideWhenUsed/>
    <w:rsid w:val="000A25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545"/>
  </w:style>
</w:styles>
</file>

<file path=word/webSettings.xml><?xml version="1.0" encoding="utf-8"?>
<w:webSettings xmlns:r="http://schemas.openxmlformats.org/officeDocument/2006/relationships" xmlns:w="http://schemas.openxmlformats.org/wordprocessingml/2006/main">
  <w:divs>
    <w:div w:id="1066031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371</Words>
  <Characters>2119</Characters>
  <Application>Microsoft Office Word</Application>
  <DocSecurity>0</DocSecurity>
  <Lines>17</Lines>
  <Paragraphs>4</Paragraphs>
  <ScaleCrop>false</ScaleCrop>
  <Company/>
  <LinksUpToDate>false</LinksUpToDate>
  <CharactersWithSpaces>2486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2016-02-11T07:38:00Z</dcterms:created>
  <dcterms:modified xsi:type="dcterms:W3CDTF">2016-02-11T07:40:00Z</dcterms:modified>
</cp:coreProperties>
</file>