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282" w:rsidRPr="00107DF2" w:rsidRDefault="00921282" w:rsidP="00107DF2">
      <w:pPr>
        <w:spacing w:after="0" w:line="240" w:lineRule="auto"/>
        <w:jc w:val="center"/>
        <w:rPr>
          <w:rFonts w:ascii="Times New Roman" w:eastAsia="Times New Roman" w:hAnsi="Times New Roman" w:cs="Times New Roman"/>
          <w:sz w:val="25"/>
          <w:szCs w:val="25"/>
        </w:rPr>
      </w:pPr>
      <w:r w:rsidRPr="00107DF2">
        <w:rPr>
          <w:rFonts w:ascii="Times New Roman" w:eastAsia="Times New Roman" w:hAnsi="Times New Roman" w:cs="Times New Roman"/>
          <w:b/>
          <w:bCs/>
          <w:sz w:val="25"/>
          <w:szCs w:val="25"/>
        </w:rPr>
        <w:t>SUPREME COURT OF INDIA</w:t>
      </w:r>
    </w:p>
    <w:p w:rsidR="00921282" w:rsidRPr="00107DF2" w:rsidRDefault="00921282" w:rsidP="00107DF2">
      <w:pPr>
        <w:spacing w:after="0" w:line="240" w:lineRule="auto"/>
        <w:jc w:val="center"/>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w:t>
      </w:r>
    </w:p>
    <w:p w:rsidR="00921282" w:rsidRPr="00107DF2" w:rsidRDefault="00921282" w:rsidP="00107DF2">
      <w:pPr>
        <w:spacing w:after="0" w:line="240" w:lineRule="auto"/>
        <w:jc w:val="center"/>
        <w:rPr>
          <w:rFonts w:ascii="Times New Roman" w:eastAsia="Times New Roman" w:hAnsi="Times New Roman" w:cs="Times New Roman"/>
          <w:sz w:val="25"/>
          <w:szCs w:val="25"/>
        </w:rPr>
      </w:pPr>
      <w:proofErr w:type="spellStart"/>
      <w:r w:rsidRPr="00107DF2">
        <w:rPr>
          <w:rFonts w:ascii="Times New Roman" w:eastAsia="Times New Roman" w:hAnsi="Times New Roman" w:cs="Times New Roman"/>
          <w:sz w:val="25"/>
          <w:szCs w:val="25"/>
        </w:rPr>
        <w:t>Kanta</w:t>
      </w:r>
      <w:proofErr w:type="spellEnd"/>
      <w:r w:rsidRPr="00107DF2">
        <w:rPr>
          <w:rFonts w:ascii="Times New Roman" w:eastAsia="Times New Roman" w:hAnsi="Times New Roman" w:cs="Times New Roman"/>
          <w:sz w:val="25"/>
          <w:szCs w:val="25"/>
        </w:rPr>
        <w:t xml:space="preserve"> Devi</w:t>
      </w:r>
    </w:p>
    <w:p w:rsidR="00921282" w:rsidRPr="00107DF2" w:rsidRDefault="00921282" w:rsidP="00107DF2">
      <w:pPr>
        <w:spacing w:after="0" w:line="240" w:lineRule="auto"/>
        <w:jc w:val="center"/>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w:t>
      </w:r>
    </w:p>
    <w:p w:rsidR="00921282" w:rsidRPr="00107DF2" w:rsidRDefault="00921282" w:rsidP="00107DF2">
      <w:pPr>
        <w:spacing w:after="0" w:line="240" w:lineRule="auto"/>
        <w:jc w:val="center"/>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Vs.</w:t>
      </w:r>
    </w:p>
    <w:p w:rsidR="00921282" w:rsidRPr="00107DF2" w:rsidRDefault="00921282" w:rsidP="00107DF2">
      <w:pPr>
        <w:spacing w:after="0" w:line="240" w:lineRule="auto"/>
        <w:jc w:val="center"/>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w:t>
      </w:r>
    </w:p>
    <w:p w:rsidR="00921282" w:rsidRPr="00107DF2" w:rsidRDefault="00921282" w:rsidP="00107DF2">
      <w:pPr>
        <w:spacing w:after="0" w:line="240" w:lineRule="auto"/>
        <w:jc w:val="center"/>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State of Haryana</w:t>
      </w:r>
    </w:p>
    <w:p w:rsidR="00921282" w:rsidRPr="00107DF2" w:rsidRDefault="00921282" w:rsidP="00107DF2">
      <w:pPr>
        <w:spacing w:after="0" w:line="240" w:lineRule="auto"/>
        <w:jc w:val="center"/>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w:t>
      </w:r>
    </w:p>
    <w:p w:rsidR="00921282" w:rsidRPr="00107DF2" w:rsidRDefault="00921282" w:rsidP="00107DF2">
      <w:pPr>
        <w:spacing w:after="0" w:line="240" w:lineRule="auto"/>
        <w:jc w:val="center"/>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C.A.Nos.1330-1332 of 2003</w:t>
      </w:r>
    </w:p>
    <w:p w:rsidR="00921282" w:rsidRPr="00107DF2" w:rsidRDefault="00921282" w:rsidP="00107DF2">
      <w:pPr>
        <w:spacing w:after="0" w:line="240" w:lineRule="auto"/>
        <w:jc w:val="center"/>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w:t>
      </w:r>
    </w:p>
    <w:p w:rsidR="00921282" w:rsidRPr="00107DF2" w:rsidRDefault="00921282" w:rsidP="00107DF2">
      <w:pPr>
        <w:spacing w:after="0" w:line="240" w:lineRule="auto"/>
        <w:jc w:val="center"/>
        <w:rPr>
          <w:rFonts w:ascii="Times New Roman" w:eastAsia="Times New Roman" w:hAnsi="Times New Roman" w:cs="Times New Roman"/>
          <w:sz w:val="25"/>
          <w:szCs w:val="25"/>
        </w:rPr>
      </w:pPr>
      <w:proofErr w:type="gramStart"/>
      <w:r w:rsidRPr="00107DF2">
        <w:rPr>
          <w:rFonts w:ascii="Times New Roman" w:eastAsia="Times New Roman" w:hAnsi="Times New Roman" w:cs="Times New Roman"/>
          <w:sz w:val="25"/>
          <w:szCs w:val="25"/>
        </w:rPr>
        <w:t>(</w:t>
      </w:r>
      <w:proofErr w:type="spellStart"/>
      <w:r w:rsidRPr="00107DF2">
        <w:rPr>
          <w:rFonts w:ascii="Times New Roman" w:eastAsia="Times New Roman" w:hAnsi="Times New Roman" w:cs="Times New Roman"/>
          <w:sz w:val="25"/>
          <w:szCs w:val="25"/>
        </w:rPr>
        <w:t>Altamas</w:t>
      </w:r>
      <w:proofErr w:type="spellEnd"/>
      <w:r w:rsidRPr="00107DF2">
        <w:rPr>
          <w:rFonts w:ascii="Times New Roman" w:eastAsia="Times New Roman" w:hAnsi="Times New Roman" w:cs="Times New Roman"/>
          <w:sz w:val="25"/>
          <w:szCs w:val="25"/>
        </w:rPr>
        <w:t xml:space="preserve"> </w:t>
      </w:r>
      <w:proofErr w:type="spellStart"/>
      <w:r w:rsidRPr="00107DF2">
        <w:rPr>
          <w:rFonts w:ascii="Times New Roman" w:eastAsia="Times New Roman" w:hAnsi="Times New Roman" w:cs="Times New Roman"/>
          <w:sz w:val="25"/>
          <w:szCs w:val="25"/>
        </w:rPr>
        <w:t>Kabir</w:t>
      </w:r>
      <w:proofErr w:type="spellEnd"/>
      <w:r w:rsidRPr="00107DF2">
        <w:rPr>
          <w:rFonts w:ascii="Times New Roman" w:eastAsia="Times New Roman" w:hAnsi="Times New Roman" w:cs="Times New Roman"/>
          <w:sz w:val="25"/>
          <w:szCs w:val="25"/>
        </w:rPr>
        <w:t xml:space="preserve"> and </w:t>
      </w:r>
      <w:proofErr w:type="spellStart"/>
      <w:r w:rsidRPr="00107DF2">
        <w:rPr>
          <w:rFonts w:ascii="Times New Roman" w:eastAsia="Times New Roman" w:hAnsi="Times New Roman" w:cs="Times New Roman"/>
          <w:sz w:val="25"/>
          <w:szCs w:val="25"/>
        </w:rPr>
        <w:t>Markandey</w:t>
      </w:r>
      <w:proofErr w:type="spellEnd"/>
      <w:r w:rsidRPr="00107DF2">
        <w:rPr>
          <w:rFonts w:ascii="Times New Roman" w:eastAsia="Times New Roman" w:hAnsi="Times New Roman" w:cs="Times New Roman"/>
          <w:sz w:val="25"/>
          <w:szCs w:val="25"/>
        </w:rPr>
        <w:t xml:space="preserve"> </w:t>
      </w:r>
      <w:proofErr w:type="spellStart"/>
      <w:r w:rsidRPr="00107DF2">
        <w:rPr>
          <w:rFonts w:ascii="Times New Roman" w:eastAsia="Times New Roman" w:hAnsi="Times New Roman" w:cs="Times New Roman"/>
          <w:sz w:val="25"/>
          <w:szCs w:val="25"/>
        </w:rPr>
        <w:t>Katju</w:t>
      </w:r>
      <w:proofErr w:type="spellEnd"/>
      <w:r w:rsidRPr="00107DF2">
        <w:rPr>
          <w:rFonts w:ascii="Times New Roman" w:eastAsia="Times New Roman" w:hAnsi="Times New Roman" w:cs="Times New Roman"/>
          <w:sz w:val="25"/>
          <w:szCs w:val="25"/>
        </w:rPr>
        <w:t xml:space="preserve"> JJ</w:t>
      </w:r>
      <w:r w:rsidR="00107DF2">
        <w:rPr>
          <w:rFonts w:ascii="Times New Roman" w:eastAsia="Times New Roman" w:hAnsi="Times New Roman" w:cs="Times New Roman"/>
          <w:sz w:val="25"/>
          <w:szCs w:val="25"/>
        </w:rPr>
        <w:t>.</w:t>
      </w:r>
      <w:r w:rsidRPr="00107DF2">
        <w:rPr>
          <w:rFonts w:ascii="Times New Roman" w:eastAsia="Times New Roman" w:hAnsi="Times New Roman" w:cs="Times New Roman"/>
          <w:sz w:val="25"/>
          <w:szCs w:val="25"/>
        </w:rPr>
        <w:t>)</w:t>
      </w:r>
      <w:proofErr w:type="gramEnd"/>
    </w:p>
    <w:p w:rsidR="00921282" w:rsidRPr="00107DF2" w:rsidRDefault="00921282" w:rsidP="00107DF2">
      <w:pPr>
        <w:spacing w:after="0" w:line="240" w:lineRule="auto"/>
        <w:jc w:val="center"/>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w:t>
      </w:r>
    </w:p>
    <w:p w:rsidR="00921282" w:rsidRPr="00107DF2" w:rsidRDefault="00921282" w:rsidP="00107DF2">
      <w:pPr>
        <w:spacing w:after="0" w:line="240" w:lineRule="auto"/>
        <w:jc w:val="center"/>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08.07.2008</w:t>
      </w:r>
    </w:p>
    <w:p w:rsidR="00921282" w:rsidRPr="00107DF2" w:rsidRDefault="00921282" w:rsidP="00107DF2">
      <w:pPr>
        <w:spacing w:after="0" w:line="240" w:lineRule="auto"/>
        <w:jc w:val="center"/>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w:t>
      </w:r>
    </w:p>
    <w:p w:rsidR="00921282" w:rsidRPr="00107DF2" w:rsidRDefault="00921282" w:rsidP="00107DF2">
      <w:pPr>
        <w:spacing w:after="0" w:line="240" w:lineRule="auto"/>
        <w:jc w:val="center"/>
        <w:rPr>
          <w:rFonts w:ascii="Times New Roman" w:eastAsia="Times New Roman" w:hAnsi="Times New Roman" w:cs="Times New Roman"/>
          <w:sz w:val="25"/>
          <w:szCs w:val="25"/>
        </w:rPr>
      </w:pPr>
      <w:r w:rsidRPr="00107DF2">
        <w:rPr>
          <w:rFonts w:ascii="Times New Roman" w:eastAsia="Times New Roman" w:hAnsi="Times New Roman" w:cs="Times New Roman"/>
          <w:b/>
          <w:bCs/>
          <w:sz w:val="25"/>
          <w:szCs w:val="25"/>
        </w:rPr>
        <w:t>JUDGMENT</w:t>
      </w:r>
    </w:p>
    <w:p w:rsidR="00921282" w:rsidRPr="00107DF2" w:rsidRDefault="00921282" w:rsidP="00107DF2">
      <w:pPr>
        <w:spacing w:after="0" w:line="240" w:lineRule="auto"/>
        <w:jc w:val="center"/>
        <w:rPr>
          <w:rFonts w:ascii="Times New Roman" w:eastAsia="Times New Roman" w:hAnsi="Times New Roman" w:cs="Times New Roman"/>
          <w:sz w:val="25"/>
          <w:szCs w:val="25"/>
        </w:rPr>
      </w:pPr>
      <w:r w:rsidRPr="00107DF2">
        <w:rPr>
          <w:rFonts w:ascii="Times New Roman" w:eastAsia="Times New Roman" w:hAnsi="Times New Roman" w:cs="Times New Roman"/>
          <w:b/>
          <w:bCs/>
          <w:sz w:val="25"/>
          <w:szCs w:val="25"/>
        </w:rPr>
        <w:t> </w:t>
      </w:r>
    </w:p>
    <w:p w:rsidR="00921282" w:rsidRPr="00107DF2" w:rsidRDefault="00107DF2" w:rsidP="00107DF2">
      <w:pPr>
        <w:spacing w:after="0" w:line="240" w:lineRule="auto"/>
        <w:jc w:val="both"/>
        <w:rPr>
          <w:rFonts w:ascii="Times New Roman" w:eastAsia="Times New Roman" w:hAnsi="Times New Roman" w:cs="Times New Roman"/>
          <w:sz w:val="25"/>
          <w:szCs w:val="25"/>
        </w:rPr>
      </w:pPr>
      <w:proofErr w:type="spellStart"/>
      <w:r w:rsidRPr="00107DF2">
        <w:rPr>
          <w:rFonts w:ascii="Times New Roman" w:eastAsia="Times New Roman" w:hAnsi="Times New Roman" w:cs="Times New Roman"/>
          <w:b/>
          <w:bCs/>
          <w:sz w:val="25"/>
          <w:szCs w:val="25"/>
        </w:rPr>
        <w:t>Altamas</w:t>
      </w:r>
      <w:proofErr w:type="spellEnd"/>
      <w:r w:rsidRPr="00107DF2">
        <w:rPr>
          <w:rFonts w:ascii="Times New Roman" w:eastAsia="Times New Roman" w:hAnsi="Times New Roman" w:cs="Times New Roman"/>
          <w:b/>
          <w:bCs/>
          <w:sz w:val="25"/>
          <w:szCs w:val="25"/>
        </w:rPr>
        <w:t xml:space="preserve"> </w:t>
      </w:r>
      <w:proofErr w:type="spellStart"/>
      <w:r w:rsidRPr="00107DF2">
        <w:rPr>
          <w:rFonts w:ascii="Times New Roman" w:eastAsia="Times New Roman" w:hAnsi="Times New Roman" w:cs="Times New Roman"/>
          <w:b/>
          <w:bCs/>
          <w:sz w:val="25"/>
          <w:szCs w:val="25"/>
        </w:rPr>
        <w:t>Kabir</w:t>
      </w:r>
      <w:proofErr w:type="spellEnd"/>
      <w:r w:rsidR="00921282" w:rsidRPr="00107DF2">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921282" w:rsidRPr="00107DF2">
        <w:rPr>
          <w:rFonts w:ascii="Times New Roman" w:eastAsia="Times New Roman" w:hAnsi="Times New Roman" w:cs="Times New Roman"/>
          <w:b/>
          <w:bCs/>
          <w:sz w:val="25"/>
          <w:szCs w:val="25"/>
        </w:rPr>
        <w:t>J.</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b/>
          <w:bCs/>
          <w:sz w:val="25"/>
          <w:szCs w:val="25"/>
        </w:rPr>
        <w:t> </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1. Apart from Special Leave Petition (Civil) Nos.9488, 9499 and 9531, all of 2003, leave is granted in respect of all the other Special Leave Petitions heard along with Civil Appeal Nos. 1330-1332 of 2003.</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xml:space="preserve">2. These appeals, have their genesis in a common award dated 14th March, 1989, made by the Land Acquisition Collector, </w:t>
      </w:r>
      <w:proofErr w:type="spellStart"/>
      <w:r w:rsidRPr="00107DF2">
        <w:rPr>
          <w:rFonts w:ascii="Times New Roman" w:eastAsia="Times New Roman" w:hAnsi="Times New Roman" w:cs="Times New Roman"/>
          <w:sz w:val="25"/>
          <w:szCs w:val="25"/>
        </w:rPr>
        <w:t>Kurukshetra</w:t>
      </w:r>
      <w:proofErr w:type="spellEnd"/>
      <w:r w:rsidRPr="00107DF2">
        <w:rPr>
          <w:rFonts w:ascii="Times New Roman" w:eastAsia="Times New Roman" w:hAnsi="Times New Roman" w:cs="Times New Roman"/>
          <w:sz w:val="25"/>
          <w:szCs w:val="25"/>
        </w:rPr>
        <w:t>, whereby he awarded</w:t>
      </w:r>
      <w:proofErr w:type="gramStart"/>
      <w:r w:rsidRPr="00107DF2">
        <w:rPr>
          <w:rFonts w:ascii="Times New Roman" w:eastAsia="Times New Roman" w:hAnsi="Times New Roman" w:cs="Times New Roman"/>
          <w:sz w:val="25"/>
          <w:szCs w:val="25"/>
        </w:rPr>
        <w:t>  compensation</w:t>
      </w:r>
      <w:proofErr w:type="gramEnd"/>
      <w:r w:rsidRPr="00107DF2">
        <w:rPr>
          <w:rFonts w:ascii="Times New Roman" w:eastAsia="Times New Roman" w:hAnsi="Times New Roman" w:cs="Times New Roman"/>
          <w:sz w:val="25"/>
          <w:szCs w:val="25"/>
        </w:rPr>
        <w:t xml:space="preserve">  in  respect of  the acquired lands at the rate of Rs.60,000/- per acre for land in the form of  </w:t>
      </w:r>
      <w:proofErr w:type="spellStart"/>
      <w:r w:rsidRPr="00107DF2">
        <w:rPr>
          <w:rFonts w:ascii="Times New Roman" w:eastAsia="Times New Roman" w:hAnsi="Times New Roman" w:cs="Times New Roman"/>
          <w:sz w:val="25"/>
          <w:szCs w:val="25"/>
        </w:rPr>
        <w:t>Chahi</w:t>
      </w:r>
      <w:proofErr w:type="spellEnd"/>
      <w:r w:rsidRPr="00107DF2">
        <w:rPr>
          <w:rFonts w:ascii="Times New Roman" w:eastAsia="Times New Roman" w:hAnsi="Times New Roman" w:cs="Times New Roman"/>
          <w:sz w:val="25"/>
          <w:szCs w:val="25"/>
        </w:rPr>
        <w:t xml:space="preserve">, </w:t>
      </w:r>
      <w:proofErr w:type="spellStart"/>
      <w:r w:rsidRPr="00107DF2">
        <w:rPr>
          <w:rFonts w:ascii="Times New Roman" w:eastAsia="Times New Roman" w:hAnsi="Times New Roman" w:cs="Times New Roman"/>
          <w:sz w:val="25"/>
          <w:szCs w:val="25"/>
        </w:rPr>
        <w:t>Gair</w:t>
      </w:r>
      <w:proofErr w:type="spellEnd"/>
      <w:r w:rsidRPr="00107DF2">
        <w:rPr>
          <w:rFonts w:ascii="Times New Roman" w:eastAsia="Times New Roman" w:hAnsi="Times New Roman" w:cs="Times New Roman"/>
          <w:sz w:val="25"/>
          <w:szCs w:val="25"/>
        </w:rPr>
        <w:t xml:space="preserve"> </w:t>
      </w:r>
      <w:proofErr w:type="spellStart"/>
      <w:r w:rsidRPr="00107DF2">
        <w:rPr>
          <w:rFonts w:ascii="Times New Roman" w:eastAsia="Times New Roman" w:hAnsi="Times New Roman" w:cs="Times New Roman"/>
          <w:sz w:val="25"/>
          <w:szCs w:val="25"/>
        </w:rPr>
        <w:t>Mumkin</w:t>
      </w:r>
      <w:proofErr w:type="spellEnd"/>
      <w:r w:rsidRPr="00107DF2">
        <w:rPr>
          <w:rFonts w:ascii="Times New Roman" w:eastAsia="Times New Roman" w:hAnsi="Times New Roman" w:cs="Times New Roman"/>
          <w:sz w:val="25"/>
          <w:szCs w:val="25"/>
        </w:rPr>
        <w:t xml:space="preserve"> </w:t>
      </w:r>
      <w:proofErr w:type="spellStart"/>
      <w:r w:rsidRPr="00107DF2">
        <w:rPr>
          <w:rFonts w:ascii="Times New Roman" w:eastAsia="Times New Roman" w:hAnsi="Times New Roman" w:cs="Times New Roman"/>
          <w:sz w:val="25"/>
          <w:szCs w:val="25"/>
        </w:rPr>
        <w:t>Tubewell</w:t>
      </w:r>
      <w:proofErr w:type="spellEnd"/>
      <w:r w:rsidRPr="00107DF2">
        <w:rPr>
          <w:rFonts w:ascii="Times New Roman" w:eastAsia="Times New Roman" w:hAnsi="Times New Roman" w:cs="Times New Roman"/>
          <w:sz w:val="25"/>
          <w:szCs w:val="25"/>
        </w:rPr>
        <w:t xml:space="preserve">, etc. and at the rate of </w:t>
      </w:r>
      <w:proofErr w:type="spellStart"/>
      <w:r w:rsidRPr="00107DF2">
        <w:rPr>
          <w:rFonts w:ascii="Times New Roman" w:eastAsia="Times New Roman" w:hAnsi="Times New Roman" w:cs="Times New Roman"/>
          <w:sz w:val="25"/>
          <w:szCs w:val="25"/>
        </w:rPr>
        <w:t>Rs</w:t>
      </w:r>
      <w:proofErr w:type="spellEnd"/>
      <w:r w:rsidRPr="00107DF2">
        <w:rPr>
          <w:rFonts w:ascii="Times New Roman" w:eastAsia="Times New Roman" w:hAnsi="Times New Roman" w:cs="Times New Roman"/>
          <w:sz w:val="25"/>
          <w:szCs w:val="25"/>
        </w:rPr>
        <w:t xml:space="preserve">. 40,000/- per acre in respect of </w:t>
      </w:r>
      <w:proofErr w:type="spellStart"/>
      <w:r w:rsidRPr="00107DF2">
        <w:rPr>
          <w:rFonts w:ascii="Times New Roman" w:eastAsia="Times New Roman" w:hAnsi="Times New Roman" w:cs="Times New Roman"/>
          <w:sz w:val="25"/>
          <w:szCs w:val="25"/>
        </w:rPr>
        <w:t>Gair</w:t>
      </w:r>
      <w:proofErr w:type="spellEnd"/>
      <w:r w:rsidRPr="00107DF2">
        <w:rPr>
          <w:rFonts w:ascii="Times New Roman" w:eastAsia="Times New Roman" w:hAnsi="Times New Roman" w:cs="Times New Roman"/>
          <w:sz w:val="25"/>
          <w:szCs w:val="25"/>
        </w:rPr>
        <w:t xml:space="preserve"> </w:t>
      </w:r>
      <w:proofErr w:type="spellStart"/>
      <w:r w:rsidRPr="00107DF2">
        <w:rPr>
          <w:rFonts w:ascii="Times New Roman" w:eastAsia="Times New Roman" w:hAnsi="Times New Roman" w:cs="Times New Roman"/>
          <w:sz w:val="25"/>
          <w:szCs w:val="25"/>
        </w:rPr>
        <w:t>Mumkin</w:t>
      </w:r>
      <w:proofErr w:type="spellEnd"/>
      <w:r w:rsidRPr="00107DF2">
        <w:rPr>
          <w:rFonts w:ascii="Times New Roman" w:eastAsia="Times New Roman" w:hAnsi="Times New Roman" w:cs="Times New Roman"/>
          <w:sz w:val="25"/>
          <w:szCs w:val="25"/>
        </w:rPr>
        <w:t xml:space="preserve"> </w:t>
      </w:r>
      <w:proofErr w:type="spellStart"/>
      <w:r w:rsidRPr="00107DF2">
        <w:rPr>
          <w:rFonts w:ascii="Times New Roman" w:eastAsia="Times New Roman" w:hAnsi="Times New Roman" w:cs="Times New Roman"/>
          <w:sz w:val="25"/>
          <w:szCs w:val="25"/>
        </w:rPr>
        <w:t>Talab</w:t>
      </w:r>
      <w:proofErr w:type="spellEnd"/>
      <w:r w:rsidRPr="00107DF2">
        <w:rPr>
          <w:rFonts w:ascii="Times New Roman" w:eastAsia="Times New Roman" w:hAnsi="Times New Roman" w:cs="Times New Roman"/>
          <w:sz w:val="25"/>
          <w:szCs w:val="25"/>
        </w:rPr>
        <w:t xml:space="preserve"> Land and Rasta Land. </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xml:space="preserve">3. Twenty seven References were made to the Land Acquisition Judge, </w:t>
      </w:r>
      <w:proofErr w:type="spellStart"/>
      <w:r w:rsidRPr="00107DF2">
        <w:rPr>
          <w:rFonts w:ascii="Times New Roman" w:eastAsia="Times New Roman" w:hAnsi="Times New Roman" w:cs="Times New Roman"/>
          <w:sz w:val="25"/>
          <w:szCs w:val="25"/>
        </w:rPr>
        <w:t>Kurukshetra</w:t>
      </w:r>
      <w:proofErr w:type="spellEnd"/>
      <w:r w:rsidRPr="00107DF2">
        <w:rPr>
          <w:rFonts w:ascii="Times New Roman" w:eastAsia="Times New Roman" w:hAnsi="Times New Roman" w:cs="Times New Roman"/>
          <w:sz w:val="25"/>
          <w:szCs w:val="25"/>
        </w:rPr>
        <w:t xml:space="preserve">, under Section 18 of the </w:t>
      </w:r>
      <w:r w:rsidRPr="00107DF2">
        <w:rPr>
          <w:rFonts w:ascii="Times New Roman" w:eastAsia="Times New Roman" w:hAnsi="Times New Roman" w:cs="Times New Roman"/>
          <w:i/>
          <w:sz w:val="25"/>
          <w:szCs w:val="25"/>
        </w:rPr>
        <w:t>Land Acquisition Act, 1894</w:t>
      </w:r>
      <w:r w:rsidRPr="00107DF2">
        <w:rPr>
          <w:rFonts w:ascii="Times New Roman" w:eastAsia="Times New Roman" w:hAnsi="Times New Roman" w:cs="Times New Roman"/>
          <w:sz w:val="25"/>
          <w:szCs w:val="25"/>
        </w:rPr>
        <w:t xml:space="preserve"> and the same were disposed of by an Award dated 2</w:t>
      </w:r>
      <w:r w:rsidRPr="00107DF2">
        <w:rPr>
          <w:rFonts w:ascii="Times New Roman" w:eastAsia="Times New Roman" w:hAnsi="Times New Roman" w:cs="Times New Roman"/>
          <w:sz w:val="25"/>
          <w:szCs w:val="25"/>
          <w:vertAlign w:val="superscript"/>
        </w:rPr>
        <w:t>nd</w:t>
      </w:r>
      <w:r w:rsidRPr="00107DF2">
        <w:rPr>
          <w:rFonts w:ascii="Times New Roman" w:eastAsia="Times New Roman" w:hAnsi="Times New Roman" w:cs="Times New Roman"/>
          <w:sz w:val="25"/>
          <w:szCs w:val="25"/>
        </w:rPr>
        <w:t xml:space="preserve"> January, 1993.</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4. Being dissatisfied as to the extent of compensation awarded, the claimants filed Regular First Appeals before the High Court. Similarly, being aggrieved by the enhancement of the market value of the lands, the State also preferred 27 Regular First Appeals.  In all, 51 Regular First Appeals, arising from the common Notification, Award, and Judgment of the Land Acquisition Judge, were taken up for hearing together and were disposed of by the learned Single Judge of the High Court by a common Judgment dated 10th August, 1999.</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xml:space="preserve">5. Aggrieved by the judgment of the learned Single Judge, the    appellants herein filed Letters Patent Appeals (L.P.As) before the Division Bench of the High Court which were mostly dismissed in </w:t>
      </w:r>
      <w:proofErr w:type="spellStart"/>
      <w:r w:rsidRPr="00107DF2">
        <w:rPr>
          <w:rFonts w:ascii="Times New Roman" w:eastAsia="Times New Roman" w:hAnsi="Times New Roman" w:cs="Times New Roman"/>
          <w:sz w:val="25"/>
          <w:szCs w:val="25"/>
        </w:rPr>
        <w:t>limine</w:t>
      </w:r>
      <w:proofErr w:type="spellEnd"/>
      <w:r w:rsidRPr="00107DF2">
        <w:rPr>
          <w:rFonts w:ascii="Times New Roman" w:eastAsia="Times New Roman" w:hAnsi="Times New Roman" w:cs="Times New Roman"/>
          <w:sz w:val="25"/>
          <w:szCs w:val="25"/>
        </w:rPr>
        <w:t xml:space="preserve"> or on account of technicalities. All the appellants, however, are similarly circumstanced and having the same grievance. </w:t>
      </w:r>
      <w:proofErr w:type="gramStart"/>
      <w:r w:rsidRPr="00107DF2">
        <w:rPr>
          <w:rFonts w:ascii="Times New Roman" w:eastAsia="Times New Roman" w:hAnsi="Times New Roman" w:cs="Times New Roman"/>
          <w:sz w:val="25"/>
          <w:szCs w:val="25"/>
        </w:rPr>
        <w:t>This batch of appeals have</w:t>
      </w:r>
      <w:proofErr w:type="gramEnd"/>
      <w:r w:rsidRPr="00107DF2">
        <w:rPr>
          <w:rFonts w:ascii="Times New Roman" w:eastAsia="Times New Roman" w:hAnsi="Times New Roman" w:cs="Times New Roman"/>
          <w:sz w:val="25"/>
          <w:szCs w:val="25"/>
        </w:rPr>
        <w:t xml:space="preserve"> been preferred against the said judgment and order of the Division Bench of the High Court in the various Letters Patent Appeals.</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lastRenderedPageBreak/>
        <w:t> </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6. Applications have been filed in SLP(C) Nos. 9488/2003, 9499/2003 and 9531/2003 for substitution and setting aside abatement and also permission to file Special Leave Petition. As they all arise out of the said common judgment of the High Court, they are allowed and leave is also granted in the connected Special Leave Petitions. As all the appeals relate to the same Notification under Section 4 of the Land Acquisition Act, and arise out of the same Award, they were taken up for hearing and final disposal together.</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7. Coming back to the facts of the case, it may be   indicated that on 12th June, 1986, the</w:t>
      </w:r>
      <w:r w:rsidR="00107DF2">
        <w:rPr>
          <w:rFonts w:ascii="Times New Roman" w:eastAsia="Times New Roman" w:hAnsi="Times New Roman" w:cs="Times New Roman"/>
          <w:sz w:val="25"/>
          <w:szCs w:val="25"/>
        </w:rPr>
        <w:t xml:space="preserve"> </w:t>
      </w:r>
      <w:r w:rsidRPr="00107DF2">
        <w:rPr>
          <w:rFonts w:ascii="Times New Roman" w:eastAsia="Times New Roman" w:hAnsi="Times New Roman" w:cs="Times New Roman"/>
          <w:sz w:val="25"/>
          <w:szCs w:val="25"/>
        </w:rPr>
        <w:t xml:space="preserve">State of Haryana issued a Notification under Section 4 of the </w:t>
      </w:r>
      <w:r w:rsidRPr="00107DF2">
        <w:rPr>
          <w:rFonts w:ascii="Times New Roman" w:eastAsia="Times New Roman" w:hAnsi="Times New Roman" w:cs="Times New Roman"/>
          <w:i/>
          <w:sz w:val="25"/>
          <w:szCs w:val="25"/>
        </w:rPr>
        <w:t>Land Acquisition Act, 1894</w:t>
      </w:r>
      <w:r w:rsidRPr="00107DF2">
        <w:rPr>
          <w:rFonts w:ascii="Times New Roman" w:eastAsia="Times New Roman" w:hAnsi="Times New Roman" w:cs="Times New Roman"/>
          <w:sz w:val="25"/>
          <w:szCs w:val="25"/>
        </w:rPr>
        <w:t xml:space="preserve">  (hereinafter, referred to as the "LA Act") for the acquisition of 265 </w:t>
      </w:r>
      <w:proofErr w:type="spellStart"/>
      <w:r w:rsidRPr="00107DF2">
        <w:rPr>
          <w:rFonts w:ascii="Times New Roman" w:eastAsia="Times New Roman" w:hAnsi="Times New Roman" w:cs="Times New Roman"/>
          <w:sz w:val="25"/>
          <w:szCs w:val="25"/>
        </w:rPr>
        <w:t>kanals</w:t>
      </w:r>
      <w:proofErr w:type="spellEnd"/>
      <w:r w:rsidRPr="00107DF2">
        <w:rPr>
          <w:rFonts w:ascii="Times New Roman" w:eastAsia="Times New Roman" w:hAnsi="Times New Roman" w:cs="Times New Roman"/>
          <w:sz w:val="25"/>
          <w:szCs w:val="25"/>
        </w:rPr>
        <w:t xml:space="preserve"> and 19 </w:t>
      </w:r>
      <w:proofErr w:type="spellStart"/>
      <w:r w:rsidRPr="00107DF2">
        <w:rPr>
          <w:rFonts w:ascii="Times New Roman" w:eastAsia="Times New Roman" w:hAnsi="Times New Roman" w:cs="Times New Roman"/>
          <w:sz w:val="25"/>
          <w:szCs w:val="25"/>
        </w:rPr>
        <w:t>Marlas</w:t>
      </w:r>
      <w:proofErr w:type="spellEnd"/>
      <w:r w:rsidRPr="00107DF2">
        <w:rPr>
          <w:rFonts w:ascii="Times New Roman" w:eastAsia="Times New Roman" w:hAnsi="Times New Roman" w:cs="Times New Roman"/>
          <w:sz w:val="25"/>
          <w:szCs w:val="25"/>
        </w:rPr>
        <w:t xml:space="preserve"> of land in the revenue estate of village </w:t>
      </w:r>
      <w:proofErr w:type="spellStart"/>
      <w:r w:rsidRPr="00107DF2">
        <w:rPr>
          <w:rFonts w:ascii="Times New Roman" w:eastAsia="Times New Roman" w:hAnsi="Times New Roman" w:cs="Times New Roman"/>
          <w:sz w:val="25"/>
          <w:szCs w:val="25"/>
        </w:rPr>
        <w:t>Ismailabad</w:t>
      </w:r>
      <w:proofErr w:type="spellEnd"/>
      <w:r w:rsidRPr="00107DF2">
        <w:rPr>
          <w:rFonts w:ascii="Times New Roman" w:eastAsia="Times New Roman" w:hAnsi="Times New Roman" w:cs="Times New Roman"/>
          <w:sz w:val="25"/>
          <w:szCs w:val="25"/>
        </w:rPr>
        <w:t xml:space="preserve">, District </w:t>
      </w:r>
      <w:proofErr w:type="spellStart"/>
      <w:r w:rsidRPr="00107DF2">
        <w:rPr>
          <w:rFonts w:ascii="Times New Roman" w:eastAsia="Times New Roman" w:hAnsi="Times New Roman" w:cs="Times New Roman"/>
          <w:sz w:val="25"/>
          <w:szCs w:val="25"/>
        </w:rPr>
        <w:t>Kurukshetra</w:t>
      </w:r>
      <w:proofErr w:type="spellEnd"/>
      <w:r w:rsidRPr="00107DF2">
        <w:rPr>
          <w:rFonts w:ascii="Times New Roman" w:eastAsia="Times New Roman" w:hAnsi="Times New Roman" w:cs="Times New Roman"/>
          <w:sz w:val="25"/>
          <w:szCs w:val="25"/>
        </w:rPr>
        <w:t xml:space="preserve"> for the establishment of a new grain market, construction of rest house, staff quarters and other connected purposes of the Market Committee, </w:t>
      </w:r>
      <w:proofErr w:type="spellStart"/>
      <w:r w:rsidRPr="00107DF2">
        <w:rPr>
          <w:rFonts w:ascii="Times New Roman" w:eastAsia="Times New Roman" w:hAnsi="Times New Roman" w:cs="Times New Roman"/>
          <w:sz w:val="25"/>
          <w:szCs w:val="25"/>
        </w:rPr>
        <w:t>Ismailabad</w:t>
      </w:r>
      <w:proofErr w:type="spellEnd"/>
      <w:r w:rsidRPr="00107DF2">
        <w:rPr>
          <w:rFonts w:ascii="Times New Roman" w:eastAsia="Times New Roman" w:hAnsi="Times New Roman" w:cs="Times New Roman"/>
          <w:sz w:val="25"/>
          <w:szCs w:val="25"/>
        </w:rPr>
        <w:t xml:space="preserve">. Notification under Section 6 was thereafter issued on 9th June, 1987 and the Collector, </w:t>
      </w:r>
      <w:proofErr w:type="spellStart"/>
      <w:r w:rsidRPr="00107DF2">
        <w:rPr>
          <w:rFonts w:ascii="Times New Roman" w:eastAsia="Times New Roman" w:hAnsi="Times New Roman" w:cs="Times New Roman"/>
          <w:sz w:val="25"/>
          <w:szCs w:val="25"/>
        </w:rPr>
        <w:t>Kurukshetra</w:t>
      </w:r>
      <w:proofErr w:type="spellEnd"/>
      <w:r w:rsidRPr="00107DF2">
        <w:rPr>
          <w:rFonts w:ascii="Times New Roman" w:eastAsia="Times New Roman" w:hAnsi="Times New Roman" w:cs="Times New Roman"/>
          <w:sz w:val="25"/>
          <w:szCs w:val="25"/>
        </w:rPr>
        <w:t xml:space="preserve">, by his Award dated 14th March, 1989 awarded compensation for 250 </w:t>
      </w:r>
      <w:proofErr w:type="spellStart"/>
      <w:r w:rsidRPr="00107DF2">
        <w:rPr>
          <w:rFonts w:ascii="Times New Roman" w:eastAsia="Times New Roman" w:hAnsi="Times New Roman" w:cs="Times New Roman"/>
          <w:sz w:val="25"/>
          <w:szCs w:val="25"/>
        </w:rPr>
        <w:t>kanals</w:t>
      </w:r>
      <w:proofErr w:type="spellEnd"/>
      <w:r w:rsidRPr="00107DF2">
        <w:rPr>
          <w:rFonts w:ascii="Times New Roman" w:eastAsia="Times New Roman" w:hAnsi="Times New Roman" w:cs="Times New Roman"/>
          <w:sz w:val="25"/>
          <w:szCs w:val="25"/>
        </w:rPr>
        <w:t xml:space="preserve"> and17 </w:t>
      </w:r>
      <w:proofErr w:type="spellStart"/>
      <w:r w:rsidRPr="00107DF2">
        <w:rPr>
          <w:rFonts w:ascii="Times New Roman" w:eastAsia="Times New Roman" w:hAnsi="Times New Roman" w:cs="Times New Roman"/>
          <w:sz w:val="25"/>
          <w:szCs w:val="25"/>
        </w:rPr>
        <w:t>marlas</w:t>
      </w:r>
      <w:proofErr w:type="spellEnd"/>
      <w:r w:rsidRPr="00107DF2">
        <w:rPr>
          <w:rFonts w:ascii="Times New Roman" w:eastAsia="Times New Roman" w:hAnsi="Times New Roman" w:cs="Times New Roman"/>
          <w:sz w:val="25"/>
          <w:szCs w:val="25"/>
        </w:rPr>
        <w:t>, comprising the first category of land referred to above, at the rate of Rs.60</w:t>
      </w:r>
      <w:proofErr w:type="gramStart"/>
      <w:r w:rsidRPr="00107DF2">
        <w:rPr>
          <w:rFonts w:ascii="Times New Roman" w:eastAsia="Times New Roman" w:hAnsi="Times New Roman" w:cs="Times New Roman"/>
          <w:sz w:val="25"/>
          <w:szCs w:val="25"/>
        </w:rPr>
        <w:t>,000</w:t>
      </w:r>
      <w:proofErr w:type="gramEnd"/>
      <w:r w:rsidRPr="00107DF2">
        <w:rPr>
          <w:rFonts w:ascii="Times New Roman" w:eastAsia="Times New Roman" w:hAnsi="Times New Roman" w:cs="Times New Roman"/>
          <w:sz w:val="25"/>
          <w:szCs w:val="25"/>
        </w:rPr>
        <w:t xml:space="preserve">/- per acre. For 15 </w:t>
      </w:r>
      <w:proofErr w:type="spellStart"/>
      <w:r w:rsidRPr="00107DF2">
        <w:rPr>
          <w:rFonts w:ascii="Times New Roman" w:eastAsia="Times New Roman" w:hAnsi="Times New Roman" w:cs="Times New Roman"/>
          <w:sz w:val="25"/>
          <w:szCs w:val="25"/>
        </w:rPr>
        <w:t>kanals</w:t>
      </w:r>
      <w:proofErr w:type="spellEnd"/>
      <w:r w:rsidRPr="00107DF2">
        <w:rPr>
          <w:rFonts w:ascii="Times New Roman" w:eastAsia="Times New Roman" w:hAnsi="Times New Roman" w:cs="Times New Roman"/>
          <w:sz w:val="25"/>
          <w:szCs w:val="25"/>
        </w:rPr>
        <w:t xml:space="preserve"> and 2 </w:t>
      </w:r>
      <w:proofErr w:type="spellStart"/>
      <w:r w:rsidRPr="00107DF2">
        <w:rPr>
          <w:rFonts w:ascii="Times New Roman" w:eastAsia="Times New Roman" w:hAnsi="Times New Roman" w:cs="Times New Roman"/>
          <w:sz w:val="25"/>
          <w:szCs w:val="25"/>
        </w:rPr>
        <w:t>marlas</w:t>
      </w:r>
      <w:proofErr w:type="spellEnd"/>
      <w:r w:rsidRPr="00107DF2">
        <w:rPr>
          <w:rFonts w:ascii="Times New Roman" w:eastAsia="Times New Roman" w:hAnsi="Times New Roman" w:cs="Times New Roman"/>
          <w:sz w:val="25"/>
          <w:szCs w:val="25"/>
        </w:rPr>
        <w:t xml:space="preserve"> of land comprising the second category of lands, the compensation was awarded at the rate of Rs.40</w:t>
      </w:r>
      <w:proofErr w:type="gramStart"/>
      <w:r w:rsidRPr="00107DF2">
        <w:rPr>
          <w:rFonts w:ascii="Times New Roman" w:eastAsia="Times New Roman" w:hAnsi="Times New Roman" w:cs="Times New Roman"/>
          <w:sz w:val="25"/>
          <w:szCs w:val="25"/>
        </w:rPr>
        <w:t>,000</w:t>
      </w:r>
      <w:proofErr w:type="gramEnd"/>
      <w:r w:rsidRPr="00107DF2">
        <w:rPr>
          <w:rFonts w:ascii="Times New Roman" w:eastAsia="Times New Roman" w:hAnsi="Times New Roman" w:cs="Times New Roman"/>
          <w:sz w:val="25"/>
          <w:szCs w:val="25"/>
        </w:rPr>
        <w:t xml:space="preserve">/- per acre. </w:t>
      </w:r>
      <w:proofErr w:type="spellStart"/>
      <w:r w:rsidRPr="00107DF2">
        <w:rPr>
          <w:rFonts w:ascii="Times New Roman" w:eastAsia="Times New Roman" w:hAnsi="Times New Roman" w:cs="Times New Roman"/>
          <w:sz w:val="25"/>
          <w:szCs w:val="25"/>
        </w:rPr>
        <w:t>Solatium</w:t>
      </w:r>
      <w:proofErr w:type="spellEnd"/>
      <w:r w:rsidRPr="00107DF2">
        <w:rPr>
          <w:rFonts w:ascii="Times New Roman" w:eastAsia="Times New Roman" w:hAnsi="Times New Roman" w:cs="Times New Roman"/>
          <w:sz w:val="25"/>
          <w:szCs w:val="25"/>
        </w:rPr>
        <w:t xml:space="preserve"> and interest were also awarded in terms of the provisions of the LA Act. 8. As indicated earlier, twenty seven References were made under Section 18 of the LA Act to the District Judge, </w:t>
      </w:r>
      <w:proofErr w:type="spellStart"/>
      <w:r w:rsidRPr="00107DF2">
        <w:rPr>
          <w:rFonts w:ascii="Times New Roman" w:eastAsia="Times New Roman" w:hAnsi="Times New Roman" w:cs="Times New Roman"/>
          <w:sz w:val="25"/>
          <w:szCs w:val="25"/>
        </w:rPr>
        <w:t>Kurukshetra</w:t>
      </w:r>
      <w:proofErr w:type="spellEnd"/>
      <w:r w:rsidRPr="00107DF2">
        <w:rPr>
          <w:rFonts w:ascii="Times New Roman" w:eastAsia="Times New Roman" w:hAnsi="Times New Roman" w:cs="Times New Roman"/>
          <w:sz w:val="25"/>
          <w:szCs w:val="25"/>
        </w:rPr>
        <w:t xml:space="preserve">.  All the said References were heard together and   by   his award dated 2nd January, 1993, the District Judge, </w:t>
      </w:r>
      <w:proofErr w:type="spellStart"/>
      <w:r w:rsidRPr="00107DF2">
        <w:rPr>
          <w:rFonts w:ascii="Times New Roman" w:eastAsia="Times New Roman" w:hAnsi="Times New Roman" w:cs="Times New Roman"/>
          <w:sz w:val="25"/>
          <w:szCs w:val="25"/>
        </w:rPr>
        <w:t>Kurukshetra</w:t>
      </w:r>
      <w:proofErr w:type="spellEnd"/>
      <w:r w:rsidRPr="00107DF2">
        <w:rPr>
          <w:rFonts w:ascii="Times New Roman" w:eastAsia="Times New Roman" w:hAnsi="Times New Roman" w:cs="Times New Roman"/>
          <w:sz w:val="25"/>
          <w:szCs w:val="25"/>
        </w:rPr>
        <w:t xml:space="preserve"> enhanced the compensation in respect of the first category of lands to Rs.1</w:t>
      </w:r>
      <w:proofErr w:type="gramStart"/>
      <w:r w:rsidRPr="00107DF2">
        <w:rPr>
          <w:rFonts w:ascii="Times New Roman" w:eastAsia="Times New Roman" w:hAnsi="Times New Roman" w:cs="Times New Roman"/>
          <w:sz w:val="25"/>
          <w:szCs w:val="25"/>
        </w:rPr>
        <w:t>,28,000</w:t>
      </w:r>
      <w:proofErr w:type="gramEnd"/>
      <w:r w:rsidRPr="00107DF2">
        <w:rPr>
          <w:rFonts w:ascii="Times New Roman" w:eastAsia="Times New Roman" w:hAnsi="Times New Roman" w:cs="Times New Roman"/>
          <w:sz w:val="25"/>
          <w:szCs w:val="25"/>
        </w:rPr>
        <w:t>/- per acre and in respect of the second category of lands to Rs.80,000/- per acre.</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9.   In the Regular First Appeals filed both by the claimants and the State of Haryana, the High Court by a common Judgment dated 10th August, 1999, enhanced the compensation for the acquired lands to Rs.2</w:t>
      </w:r>
      <w:proofErr w:type="gramStart"/>
      <w:r w:rsidRPr="00107DF2">
        <w:rPr>
          <w:rFonts w:ascii="Times New Roman" w:eastAsia="Times New Roman" w:hAnsi="Times New Roman" w:cs="Times New Roman"/>
          <w:sz w:val="25"/>
          <w:szCs w:val="25"/>
        </w:rPr>
        <w:t>,88,000</w:t>
      </w:r>
      <w:proofErr w:type="gramEnd"/>
      <w:r w:rsidRPr="00107DF2">
        <w:rPr>
          <w:rFonts w:ascii="Times New Roman" w:eastAsia="Times New Roman" w:hAnsi="Times New Roman" w:cs="Times New Roman"/>
          <w:sz w:val="25"/>
          <w:szCs w:val="25"/>
        </w:rPr>
        <w:t xml:space="preserve">/- per acre and it was indicated that all the claimants were entitled to uniform compensation as the lands had been acquired for a common purpose. Consequently, the appeals preferred by the State of Haryana were dismissed and those of the claimants were allowed in part. </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xml:space="preserve">10.   It may be relevant to mention at this stage that in enhancing the compensation payable to the claimants-appellants herein, the learned Single Judge took one exemplar (Ex. P-6) for the purpose of comparison </w:t>
      </w:r>
      <w:proofErr w:type="spellStart"/>
      <w:r w:rsidRPr="00107DF2">
        <w:rPr>
          <w:rFonts w:ascii="Times New Roman" w:eastAsia="Times New Roman" w:hAnsi="Times New Roman" w:cs="Times New Roman"/>
          <w:sz w:val="25"/>
          <w:szCs w:val="25"/>
        </w:rPr>
        <w:t>vis</w:t>
      </w:r>
      <w:proofErr w:type="spellEnd"/>
      <w:r w:rsidRPr="00107DF2">
        <w:rPr>
          <w:rFonts w:ascii="Times New Roman" w:eastAsia="Times New Roman" w:hAnsi="Times New Roman" w:cs="Times New Roman"/>
          <w:sz w:val="25"/>
          <w:szCs w:val="25"/>
        </w:rPr>
        <w:t>-`-</w:t>
      </w:r>
      <w:proofErr w:type="spellStart"/>
      <w:r w:rsidRPr="00107DF2">
        <w:rPr>
          <w:rFonts w:ascii="Times New Roman" w:eastAsia="Times New Roman" w:hAnsi="Times New Roman" w:cs="Times New Roman"/>
          <w:sz w:val="25"/>
          <w:szCs w:val="25"/>
        </w:rPr>
        <w:t>vis</w:t>
      </w:r>
      <w:proofErr w:type="spellEnd"/>
      <w:r w:rsidRPr="00107DF2">
        <w:rPr>
          <w:rFonts w:ascii="Times New Roman" w:eastAsia="Times New Roman" w:hAnsi="Times New Roman" w:cs="Times New Roman"/>
          <w:sz w:val="25"/>
          <w:szCs w:val="25"/>
        </w:rPr>
        <w:t xml:space="preserve"> the land acquired. Ex. P-6 is a sale deed, whereby on 30th January, 1986, a plot of land measuring 148 square yards was sold for Rs.24,000/-, whereas the notification under Section 4 was issued six months after on 12th June, 1986. On the basis of the above, the price of the land in question works out to Rs.9</w:t>
      </w:r>
      <w:proofErr w:type="gramStart"/>
      <w:r w:rsidRPr="00107DF2">
        <w:rPr>
          <w:rFonts w:ascii="Times New Roman" w:eastAsia="Times New Roman" w:hAnsi="Times New Roman" w:cs="Times New Roman"/>
          <w:sz w:val="25"/>
          <w:szCs w:val="25"/>
        </w:rPr>
        <w:t>,60,000</w:t>
      </w:r>
      <w:proofErr w:type="gramEnd"/>
      <w:r w:rsidRPr="00107DF2">
        <w:rPr>
          <w:rFonts w:ascii="Times New Roman" w:eastAsia="Times New Roman" w:hAnsi="Times New Roman" w:cs="Times New Roman"/>
          <w:sz w:val="25"/>
          <w:szCs w:val="25"/>
        </w:rPr>
        <w:t>/- per acre. The learned Single Judge, while accepting</w:t>
      </w:r>
      <w:proofErr w:type="gramStart"/>
      <w:r w:rsidRPr="00107DF2">
        <w:rPr>
          <w:rFonts w:ascii="Times New Roman" w:eastAsia="Times New Roman" w:hAnsi="Times New Roman" w:cs="Times New Roman"/>
          <w:sz w:val="25"/>
          <w:szCs w:val="25"/>
        </w:rPr>
        <w:t>  the</w:t>
      </w:r>
      <w:proofErr w:type="gramEnd"/>
      <w:r w:rsidRPr="00107DF2">
        <w:rPr>
          <w:rFonts w:ascii="Times New Roman" w:eastAsia="Times New Roman" w:hAnsi="Times New Roman" w:cs="Times New Roman"/>
          <w:sz w:val="25"/>
          <w:szCs w:val="25"/>
        </w:rPr>
        <w:t xml:space="preserve"> aforesaid valuation, directed deduction of 70% of the value of the lands towards development charges to make the acquired land suitable for the purpose for which it had been acquired and also having regard to the nature of the lands on the date of publication of  the notification under Section 4 of the LA Act. On the basis of such deduction, the learned Single Judge uniformly enhanced the compensation in respect of the lands acquired to Rs.2</w:t>
      </w:r>
      <w:proofErr w:type="gramStart"/>
      <w:r w:rsidRPr="00107DF2">
        <w:rPr>
          <w:rFonts w:ascii="Times New Roman" w:eastAsia="Times New Roman" w:hAnsi="Times New Roman" w:cs="Times New Roman"/>
          <w:sz w:val="25"/>
          <w:szCs w:val="25"/>
        </w:rPr>
        <w:t>,88,000</w:t>
      </w:r>
      <w:proofErr w:type="gramEnd"/>
      <w:r w:rsidRPr="00107DF2">
        <w:rPr>
          <w:rFonts w:ascii="Times New Roman" w:eastAsia="Times New Roman" w:hAnsi="Times New Roman" w:cs="Times New Roman"/>
          <w:sz w:val="25"/>
          <w:szCs w:val="25"/>
        </w:rPr>
        <w:t xml:space="preserve">/- per acre. As indicated hereinbefore, most of </w:t>
      </w:r>
      <w:r w:rsidRPr="00107DF2">
        <w:rPr>
          <w:rFonts w:ascii="Times New Roman" w:eastAsia="Times New Roman" w:hAnsi="Times New Roman" w:cs="Times New Roman"/>
          <w:sz w:val="25"/>
          <w:szCs w:val="25"/>
        </w:rPr>
        <w:lastRenderedPageBreak/>
        <w:t xml:space="preserve">the Letters Patent Appeals filed by the appellants were dismissed by the Division Bench in </w:t>
      </w:r>
      <w:proofErr w:type="spellStart"/>
      <w:r w:rsidRPr="00107DF2">
        <w:rPr>
          <w:rFonts w:ascii="Times New Roman" w:eastAsia="Times New Roman" w:hAnsi="Times New Roman" w:cs="Times New Roman"/>
          <w:sz w:val="25"/>
          <w:szCs w:val="25"/>
        </w:rPr>
        <w:t>limine</w:t>
      </w:r>
      <w:proofErr w:type="spellEnd"/>
      <w:r w:rsidRPr="00107DF2">
        <w:rPr>
          <w:rFonts w:ascii="Times New Roman" w:eastAsia="Times New Roman" w:hAnsi="Times New Roman" w:cs="Times New Roman"/>
          <w:sz w:val="25"/>
          <w:szCs w:val="25"/>
        </w:rPr>
        <w:t xml:space="preserve"> or on technical grounds.</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11. These appeals have been preferred by the claimants where Letters Patent Appeals were disposed of by cryptic orders although they were aggrieved by the rate of deduction applied by the learned Single Judge of the High Court while disposing of the Regular First Appeals preferred by the appellants as also the respondents.</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xml:space="preserve">12.   On behalf of the appellants, it was contended that the rate of deduction as applied by the learned Single Judge was highly excessive as the acquired lands were situated in an area which was already developed. It was submitted that the acquired lands were situated at </w:t>
      </w:r>
      <w:proofErr w:type="spellStart"/>
      <w:r w:rsidRPr="00107DF2">
        <w:rPr>
          <w:rFonts w:ascii="Times New Roman" w:eastAsia="Times New Roman" w:hAnsi="Times New Roman" w:cs="Times New Roman"/>
          <w:sz w:val="25"/>
          <w:szCs w:val="25"/>
        </w:rPr>
        <w:t>Ambala</w:t>
      </w:r>
      <w:proofErr w:type="spellEnd"/>
      <w:r w:rsidRPr="00107DF2">
        <w:rPr>
          <w:rFonts w:ascii="Times New Roman" w:eastAsia="Times New Roman" w:hAnsi="Times New Roman" w:cs="Times New Roman"/>
          <w:sz w:val="25"/>
          <w:szCs w:val="25"/>
        </w:rPr>
        <w:t xml:space="preserve"> </w:t>
      </w:r>
      <w:proofErr w:type="spellStart"/>
      <w:r w:rsidRPr="00107DF2">
        <w:rPr>
          <w:rFonts w:ascii="Times New Roman" w:eastAsia="Times New Roman" w:hAnsi="Times New Roman" w:cs="Times New Roman"/>
          <w:sz w:val="25"/>
          <w:szCs w:val="25"/>
        </w:rPr>
        <w:t>Pehowa</w:t>
      </w:r>
      <w:proofErr w:type="spellEnd"/>
      <w:r w:rsidRPr="00107DF2">
        <w:rPr>
          <w:rFonts w:ascii="Times New Roman" w:eastAsia="Times New Roman" w:hAnsi="Times New Roman" w:cs="Times New Roman"/>
          <w:sz w:val="25"/>
          <w:szCs w:val="25"/>
        </w:rPr>
        <w:t xml:space="preserve"> Road in Village </w:t>
      </w:r>
      <w:proofErr w:type="spellStart"/>
      <w:r w:rsidRPr="00107DF2">
        <w:rPr>
          <w:rFonts w:ascii="Times New Roman" w:eastAsia="Times New Roman" w:hAnsi="Times New Roman" w:cs="Times New Roman"/>
          <w:sz w:val="25"/>
          <w:szCs w:val="25"/>
        </w:rPr>
        <w:t>Ismailabad</w:t>
      </w:r>
      <w:proofErr w:type="spellEnd"/>
      <w:r w:rsidRPr="00107DF2">
        <w:rPr>
          <w:rFonts w:ascii="Times New Roman" w:eastAsia="Times New Roman" w:hAnsi="Times New Roman" w:cs="Times New Roman"/>
          <w:sz w:val="25"/>
          <w:szCs w:val="25"/>
        </w:rPr>
        <w:t xml:space="preserve"> and were adjacent to the Village </w:t>
      </w:r>
      <w:proofErr w:type="spellStart"/>
      <w:r w:rsidRPr="00107DF2">
        <w:rPr>
          <w:rFonts w:ascii="Times New Roman" w:eastAsia="Times New Roman" w:hAnsi="Times New Roman" w:cs="Times New Roman"/>
          <w:sz w:val="25"/>
          <w:szCs w:val="25"/>
        </w:rPr>
        <w:t>abadi</w:t>
      </w:r>
      <w:proofErr w:type="spellEnd"/>
      <w:r w:rsidRPr="00107DF2">
        <w:rPr>
          <w:rFonts w:ascii="Times New Roman" w:eastAsia="Times New Roman" w:hAnsi="Times New Roman" w:cs="Times New Roman"/>
          <w:sz w:val="25"/>
          <w:szCs w:val="25"/>
        </w:rPr>
        <w:t xml:space="preserve"> where there were houses and shelters, power house, telephone exchange and a factory. </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13. It was also submitted that since the acquired lands were reserved for commercial and residential purposes, the claimants had demanded compensation at the rate of Rs.15</w:t>
      </w:r>
      <w:proofErr w:type="gramStart"/>
      <w:r w:rsidRPr="00107DF2">
        <w:rPr>
          <w:rFonts w:ascii="Times New Roman" w:eastAsia="Times New Roman" w:hAnsi="Times New Roman" w:cs="Times New Roman"/>
          <w:sz w:val="25"/>
          <w:szCs w:val="25"/>
        </w:rPr>
        <w:t>,000</w:t>
      </w:r>
      <w:proofErr w:type="gramEnd"/>
      <w:r w:rsidRPr="00107DF2">
        <w:rPr>
          <w:rFonts w:ascii="Times New Roman" w:eastAsia="Times New Roman" w:hAnsi="Times New Roman" w:cs="Times New Roman"/>
          <w:sz w:val="25"/>
          <w:szCs w:val="25"/>
        </w:rPr>
        <w:t xml:space="preserve">/- per </w:t>
      </w:r>
      <w:proofErr w:type="spellStart"/>
      <w:r w:rsidRPr="00107DF2">
        <w:rPr>
          <w:rFonts w:ascii="Times New Roman" w:eastAsia="Times New Roman" w:hAnsi="Times New Roman" w:cs="Times New Roman"/>
          <w:sz w:val="25"/>
          <w:szCs w:val="25"/>
        </w:rPr>
        <w:t>marla</w:t>
      </w:r>
      <w:proofErr w:type="spellEnd"/>
      <w:r w:rsidRPr="00107DF2">
        <w:rPr>
          <w:rFonts w:ascii="Times New Roman" w:eastAsia="Times New Roman" w:hAnsi="Times New Roman" w:cs="Times New Roman"/>
          <w:sz w:val="25"/>
          <w:szCs w:val="25"/>
        </w:rPr>
        <w:t xml:space="preserve"> from the Collector and in support thereof Sale Deeds in respect of lands adjacent to the acquired land had been placed on record to show that the valuation of the said lands were between Rs.8,000/- to Rs.9,000/- per </w:t>
      </w:r>
      <w:proofErr w:type="spellStart"/>
      <w:r w:rsidRPr="00107DF2">
        <w:rPr>
          <w:rFonts w:ascii="Times New Roman" w:eastAsia="Times New Roman" w:hAnsi="Times New Roman" w:cs="Times New Roman"/>
          <w:sz w:val="25"/>
          <w:szCs w:val="25"/>
        </w:rPr>
        <w:t>marla</w:t>
      </w:r>
      <w:proofErr w:type="spellEnd"/>
      <w:r w:rsidRPr="00107DF2">
        <w:rPr>
          <w:rFonts w:ascii="Times New Roman" w:eastAsia="Times New Roman" w:hAnsi="Times New Roman" w:cs="Times New Roman"/>
          <w:sz w:val="25"/>
          <w:szCs w:val="25"/>
        </w:rPr>
        <w:t xml:space="preserve">. </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14. It was submitted that this Court had repeatedly held that in assessing the compensation payable in respect of agricultural land or undeveloped land which had potential value for housing or commercial purposes, normally 1/3 of the assessed value of the land is deducted depending on the nature of the land, its location, extent of expenditure involved for development, and the land required for roads</w:t>
      </w:r>
      <w:proofErr w:type="gramStart"/>
      <w:r w:rsidRPr="00107DF2">
        <w:rPr>
          <w:rFonts w:ascii="Times New Roman" w:eastAsia="Times New Roman" w:hAnsi="Times New Roman" w:cs="Times New Roman"/>
          <w:sz w:val="25"/>
          <w:szCs w:val="25"/>
        </w:rPr>
        <w:t>  and</w:t>
      </w:r>
      <w:proofErr w:type="gramEnd"/>
      <w:r w:rsidRPr="00107DF2">
        <w:rPr>
          <w:rFonts w:ascii="Times New Roman" w:eastAsia="Times New Roman" w:hAnsi="Times New Roman" w:cs="Times New Roman"/>
          <w:sz w:val="25"/>
          <w:szCs w:val="25"/>
        </w:rPr>
        <w:t xml:space="preserve"> other civic amenities to make the  land suitable for residential or commercial purposes. However, in the instant case, despite the location of the acquired land and its potential value, the compensation payable to the claimants was reduced drastically without proper reason for such drastic deduction.</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xml:space="preserve">15.   In addition to the above, it was submitted that both the learned District Judge and the learned Single Judge of the High Court had erred in holding that the sale deed in respect of a small plot of land was not a proper indicator for the purpose of determining the value of a large tract of land. It was urged that even with regard to the said question, this Court had consistently indicated that such sale deeds or such exemplars should not be discarded in </w:t>
      </w:r>
      <w:proofErr w:type="spellStart"/>
      <w:r w:rsidRPr="00107DF2">
        <w:rPr>
          <w:rFonts w:ascii="Times New Roman" w:eastAsia="Times New Roman" w:hAnsi="Times New Roman" w:cs="Times New Roman"/>
          <w:sz w:val="25"/>
          <w:szCs w:val="25"/>
        </w:rPr>
        <w:t>limini</w:t>
      </w:r>
      <w:proofErr w:type="spellEnd"/>
      <w:r w:rsidRPr="00107DF2">
        <w:rPr>
          <w:rFonts w:ascii="Times New Roman" w:eastAsia="Times New Roman" w:hAnsi="Times New Roman" w:cs="Times New Roman"/>
          <w:sz w:val="25"/>
          <w:szCs w:val="25"/>
        </w:rPr>
        <w:t>, but were to be taken into consideration while fixing the value of the lands acquired.</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16. In support of the aforesaid submissions reliance was placed on the decision of this</w:t>
      </w:r>
      <w:proofErr w:type="gramStart"/>
      <w:r w:rsidRPr="00107DF2">
        <w:rPr>
          <w:rFonts w:ascii="Times New Roman" w:eastAsia="Times New Roman" w:hAnsi="Times New Roman" w:cs="Times New Roman"/>
          <w:sz w:val="25"/>
          <w:szCs w:val="25"/>
        </w:rPr>
        <w:t>  Court</w:t>
      </w:r>
      <w:proofErr w:type="gramEnd"/>
      <w:r w:rsidRPr="00107DF2">
        <w:rPr>
          <w:rFonts w:ascii="Times New Roman" w:eastAsia="Times New Roman" w:hAnsi="Times New Roman" w:cs="Times New Roman"/>
          <w:sz w:val="25"/>
          <w:szCs w:val="25"/>
        </w:rPr>
        <w:t xml:space="preserve"> in </w:t>
      </w:r>
      <w:proofErr w:type="spellStart"/>
      <w:r w:rsidRPr="00107DF2">
        <w:rPr>
          <w:rFonts w:ascii="Times New Roman" w:eastAsia="Times New Roman" w:hAnsi="Times New Roman" w:cs="Times New Roman"/>
          <w:i/>
          <w:sz w:val="25"/>
          <w:szCs w:val="25"/>
        </w:rPr>
        <w:t>Lucknow</w:t>
      </w:r>
      <w:proofErr w:type="spellEnd"/>
      <w:r w:rsidRPr="00107DF2">
        <w:rPr>
          <w:rFonts w:ascii="Times New Roman" w:eastAsia="Times New Roman" w:hAnsi="Times New Roman" w:cs="Times New Roman"/>
          <w:i/>
          <w:sz w:val="25"/>
          <w:szCs w:val="25"/>
        </w:rPr>
        <w:t xml:space="preserve"> Development Authority vs. Krishna </w:t>
      </w:r>
      <w:proofErr w:type="spellStart"/>
      <w:r w:rsidRPr="00107DF2">
        <w:rPr>
          <w:rFonts w:ascii="Times New Roman" w:eastAsia="Times New Roman" w:hAnsi="Times New Roman" w:cs="Times New Roman"/>
          <w:i/>
          <w:sz w:val="25"/>
          <w:szCs w:val="25"/>
        </w:rPr>
        <w:t>Gopal</w:t>
      </w:r>
      <w:proofErr w:type="spellEnd"/>
      <w:r w:rsidRPr="00107DF2">
        <w:rPr>
          <w:rFonts w:ascii="Times New Roman" w:eastAsia="Times New Roman" w:hAnsi="Times New Roman" w:cs="Times New Roman"/>
          <w:i/>
          <w:sz w:val="25"/>
          <w:szCs w:val="25"/>
        </w:rPr>
        <w:t xml:space="preserve"> </w:t>
      </w:r>
      <w:proofErr w:type="spellStart"/>
      <w:r w:rsidRPr="00107DF2">
        <w:rPr>
          <w:rFonts w:ascii="Times New Roman" w:eastAsia="Times New Roman" w:hAnsi="Times New Roman" w:cs="Times New Roman"/>
          <w:i/>
          <w:sz w:val="25"/>
          <w:szCs w:val="25"/>
        </w:rPr>
        <w:t>Lahoti</w:t>
      </w:r>
      <w:proofErr w:type="spellEnd"/>
      <w:r w:rsidRPr="00107DF2">
        <w:rPr>
          <w:rFonts w:ascii="Times New Roman" w:eastAsia="Times New Roman" w:hAnsi="Times New Roman" w:cs="Times New Roman"/>
          <w:i/>
          <w:sz w:val="25"/>
          <w:szCs w:val="25"/>
        </w:rPr>
        <w:t xml:space="preserve"> and Ors.</w:t>
      </w:r>
      <w:r w:rsidR="00107DF2" w:rsidRPr="00107DF2">
        <w:rPr>
          <w:rFonts w:ascii="Times New Roman" w:eastAsia="Times New Roman" w:hAnsi="Times New Roman" w:cs="Times New Roman"/>
          <w:i/>
          <w:sz w:val="25"/>
          <w:szCs w:val="25"/>
          <w:vertAlign w:val="superscript"/>
        </w:rPr>
        <w:t>1</w:t>
      </w:r>
      <w:r w:rsidRPr="00107DF2">
        <w:rPr>
          <w:rFonts w:ascii="Times New Roman" w:eastAsia="Times New Roman" w:hAnsi="Times New Roman" w:cs="Times New Roman"/>
          <w:sz w:val="25"/>
          <w:szCs w:val="25"/>
        </w:rPr>
        <w:t xml:space="preserve"> where deduction for development charges at the rate of 1/3 of the amount of compensation was accepted to be normal. However, it was also indicated that there may be various factors which were required to be taken into consideration while deciding the amount of deduction to be made towards</w:t>
      </w:r>
      <w:r w:rsidR="00107DF2">
        <w:rPr>
          <w:rFonts w:ascii="Times New Roman" w:eastAsia="Times New Roman" w:hAnsi="Times New Roman" w:cs="Times New Roman"/>
          <w:sz w:val="25"/>
          <w:szCs w:val="25"/>
        </w:rPr>
        <w:t xml:space="preserve"> </w:t>
      </w:r>
      <w:r w:rsidRPr="00107DF2">
        <w:rPr>
          <w:rFonts w:ascii="Times New Roman" w:eastAsia="Times New Roman" w:hAnsi="Times New Roman" w:cs="Times New Roman"/>
          <w:sz w:val="25"/>
          <w:szCs w:val="25"/>
        </w:rPr>
        <w:t xml:space="preserve">developmental charges. While in some cases, it could be more than 1/3, in other cases it could be less, having regard to the difference between a developed area </w:t>
      </w:r>
      <w:proofErr w:type="gramStart"/>
      <w:r w:rsidRPr="00107DF2">
        <w:rPr>
          <w:rFonts w:ascii="Times New Roman" w:eastAsia="Times New Roman" w:hAnsi="Times New Roman" w:cs="Times New Roman"/>
          <w:sz w:val="25"/>
          <w:szCs w:val="25"/>
        </w:rPr>
        <w:t>or</w:t>
      </w:r>
      <w:proofErr w:type="gramEnd"/>
      <w:r w:rsidRPr="00107DF2">
        <w:rPr>
          <w:rFonts w:ascii="Times New Roman" w:eastAsia="Times New Roman" w:hAnsi="Times New Roman" w:cs="Times New Roman"/>
          <w:sz w:val="25"/>
          <w:szCs w:val="25"/>
        </w:rPr>
        <w:t xml:space="preserve"> an area having potential value which is yet to be developed.</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lastRenderedPageBreak/>
        <w:t>17.   In the   same   decision, while observing that where a large area is the subject matter of acquisition the rate at which small plots are sold cannot be said to be a safe criteria, it was also observed that it could not be laid down as an absolute proposition that the rates fixed for small plots could not be the basis for fixation of the value of the acquired land. However, in such cases necessary deduction/adjustments have to be made while determining the value and in the said context it was held that a deduction of 1/3 of the compensation amount was considered to be normal.</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xml:space="preserve">18.   It was also sought to be urged that apart from </w:t>
      </w:r>
      <w:proofErr w:type="spellStart"/>
      <w:r w:rsidRPr="00107DF2">
        <w:rPr>
          <w:rFonts w:ascii="Times New Roman" w:eastAsia="Times New Roman" w:hAnsi="Times New Roman" w:cs="Times New Roman"/>
          <w:sz w:val="25"/>
          <w:szCs w:val="25"/>
        </w:rPr>
        <w:t>Exh</w:t>
      </w:r>
      <w:proofErr w:type="spellEnd"/>
      <w:r w:rsidRPr="00107DF2">
        <w:rPr>
          <w:rFonts w:ascii="Times New Roman" w:eastAsia="Times New Roman" w:hAnsi="Times New Roman" w:cs="Times New Roman"/>
          <w:sz w:val="25"/>
          <w:szCs w:val="25"/>
        </w:rPr>
        <w:t xml:space="preserve">. P.6 on which reliance had been placed by the High Court certain other exemplars were also produced on behalf of the claimants which were not relied upon on the ground that they had not been properly proved. It was submitted that with the incorporation of Section 51-A in the LA Act by way of amendment the degree of proof had been altered and although the previous legal position was that all   sale deeds on which reliance was placed  by the parties were required to be proved, after the amendment such proof was not strictly required and the various </w:t>
      </w:r>
      <w:proofErr w:type="spellStart"/>
      <w:r w:rsidRPr="00107DF2">
        <w:rPr>
          <w:rFonts w:ascii="Times New Roman" w:eastAsia="Times New Roman" w:hAnsi="Times New Roman" w:cs="Times New Roman"/>
          <w:sz w:val="25"/>
          <w:szCs w:val="25"/>
        </w:rPr>
        <w:t>foras</w:t>
      </w:r>
      <w:proofErr w:type="spellEnd"/>
      <w:r w:rsidRPr="00107DF2">
        <w:rPr>
          <w:rFonts w:ascii="Times New Roman" w:eastAsia="Times New Roman" w:hAnsi="Times New Roman" w:cs="Times New Roman"/>
          <w:sz w:val="25"/>
          <w:szCs w:val="25"/>
        </w:rPr>
        <w:t xml:space="preserve"> up to the stage of Regular First Appeal   could rely on such  documents, which included certified copies, as exemplars without having to prove the same. It was urged that having regard to the provisions of Section 51-A of the LA Act the different </w:t>
      </w:r>
      <w:proofErr w:type="spellStart"/>
      <w:r w:rsidRPr="00107DF2">
        <w:rPr>
          <w:rFonts w:ascii="Times New Roman" w:eastAsia="Times New Roman" w:hAnsi="Times New Roman" w:cs="Times New Roman"/>
          <w:sz w:val="25"/>
          <w:szCs w:val="25"/>
        </w:rPr>
        <w:t>foras</w:t>
      </w:r>
      <w:proofErr w:type="spellEnd"/>
      <w:r w:rsidRPr="00107DF2">
        <w:rPr>
          <w:rFonts w:ascii="Times New Roman" w:eastAsia="Times New Roman" w:hAnsi="Times New Roman" w:cs="Times New Roman"/>
          <w:sz w:val="25"/>
          <w:szCs w:val="25"/>
        </w:rPr>
        <w:t>, including the High Court, had erred in not placing reliance on all sale deeds that had been produced on behalf of the claimants in assessing the amount of compensation payable in respect of the acquired land.</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w:t>
      </w:r>
    </w:p>
    <w:p w:rsid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xml:space="preserve">19. In support of the aforesaid submission reliance was placed on a Constitution Bench decision of this Court in </w:t>
      </w:r>
      <w:r w:rsidRPr="00107DF2">
        <w:rPr>
          <w:rFonts w:ascii="Times New Roman" w:eastAsia="Times New Roman" w:hAnsi="Times New Roman" w:cs="Times New Roman"/>
          <w:i/>
          <w:sz w:val="25"/>
          <w:szCs w:val="25"/>
        </w:rPr>
        <w:t xml:space="preserve">Cement Corporation of India Ltd. vs. </w:t>
      </w:r>
      <w:proofErr w:type="spellStart"/>
      <w:r w:rsidRPr="00107DF2">
        <w:rPr>
          <w:rFonts w:ascii="Times New Roman" w:eastAsia="Times New Roman" w:hAnsi="Times New Roman" w:cs="Times New Roman"/>
          <w:i/>
          <w:sz w:val="25"/>
          <w:szCs w:val="25"/>
        </w:rPr>
        <w:t>Purya</w:t>
      </w:r>
      <w:proofErr w:type="spellEnd"/>
      <w:r w:rsidRPr="00107DF2">
        <w:rPr>
          <w:rFonts w:ascii="Times New Roman" w:eastAsia="Times New Roman" w:hAnsi="Times New Roman" w:cs="Times New Roman"/>
          <w:i/>
          <w:sz w:val="25"/>
          <w:szCs w:val="25"/>
        </w:rPr>
        <w:t xml:space="preserve"> and </w:t>
      </w:r>
      <w:proofErr w:type="gramStart"/>
      <w:r w:rsidRPr="00107DF2">
        <w:rPr>
          <w:rFonts w:ascii="Times New Roman" w:eastAsia="Times New Roman" w:hAnsi="Times New Roman" w:cs="Times New Roman"/>
          <w:i/>
          <w:sz w:val="25"/>
          <w:szCs w:val="25"/>
        </w:rPr>
        <w:t>ors.</w:t>
      </w:r>
      <w:r w:rsidR="00107DF2" w:rsidRPr="00107DF2">
        <w:rPr>
          <w:rFonts w:ascii="Times New Roman" w:eastAsia="Times New Roman" w:hAnsi="Times New Roman" w:cs="Times New Roman"/>
          <w:i/>
          <w:sz w:val="25"/>
          <w:szCs w:val="25"/>
          <w:vertAlign w:val="superscript"/>
        </w:rPr>
        <w:t>2</w:t>
      </w:r>
      <w:r w:rsidRPr="00107DF2">
        <w:rPr>
          <w:rFonts w:ascii="Times New Roman" w:eastAsia="Times New Roman" w:hAnsi="Times New Roman" w:cs="Times New Roman"/>
          <w:i/>
          <w:sz w:val="25"/>
          <w:szCs w:val="25"/>
        </w:rPr>
        <w:t xml:space="preserve"> </w:t>
      </w:r>
      <w:r w:rsidRPr="00107DF2">
        <w:rPr>
          <w:rFonts w:ascii="Times New Roman" w:eastAsia="Times New Roman" w:hAnsi="Times New Roman" w:cs="Times New Roman"/>
          <w:sz w:val="25"/>
          <w:szCs w:val="25"/>
        </w:rPr>
        <w:t xml:space="preserve"> </w:t>
      </w:r>
      <w:r w:rsidRPr="00107DF2">
        <w:rPr>
          <w:rFonts w:ascii="Times New Roman" w:eastAsia="Times New Roman" w:hAnsi="Times New Roman" w:cs="Times New Roman"/>
          <w:i/>
          <w:sz w:val="25"/>
          <w:szCs w:val="25"/>
        </w:rPr>
        <w:t>and</w:t>
      </w:r>
      <w:proofErr w:type="gramEnd"/>
      <w:r w:rsidRPr="00107DF2">
        <w:rPr>
          <w:rFonts w:ascii="Times New Roman" w:eastAsia="Times New Roman" w:hAnsi="Times New Roman" w:cs="Times New Roman"/>
          <w:i/>
          <w:sz w:val="25"/>
          <w:szCs w:val="25"/>
        </w:rPr>
        <w:t xml:space="preserve"> </w:t>
      </w:r>
      <w:proofErr w:type="spellStart"/>
      <w:r w:rsidRPr="00107DF2">
        <w:rPr>
          <w:rFonts w:ascii="Times New Roman" w:eastAsia="Times New Roman" w:hAnsi="Times New Roman" w:cs="Times New Roman"/>
          <w:i/>
          <w:sz w:val="25"/>
          <w:szCs w:val="25"/>
        </w:rPr>
        <w:t>Ranvir</w:t>
      </w:r>
      <w:proofErr w:type="spellEnd"/>
      <w:r w:rsidRPr="00107DF2">
        <w:rPr>
          <w:rFonts w:ascii="Times New Roman" w:eastAsia="Times New Roman" w:hAnsi="Times New Roman" w:cs="Times New Roman"/>
          <w:i/>
          <w:sz w:val="25"/>
          <w:szCs w:val="25"/>
        </w:rPr>
        <w:t xml:space="preserve"> Singh Vs. Union of India</w:t>
      </w:r>
      <w:r w:rsidR="00107DF2" w:rsidRPr="00107DF2">
        <w:rPr>
          <w:rFonts w:ascii="Times New Roman" w:eastAsia="Times New Roman" w:hAnsi="Times New Roman" w:cs="Times New Roman"/>
          <w:i/>
          <w:sz w:val="25"/>
          <w:szCs w:val="25"/>
          <w:vertAlign w:val="superscript"/>
        </w:rPr>
        <w:t>3</w:t>
      </w:r>
      <w:r w:rsidRPr="00107DF2">
        <w:rPr>
          <w:rFonts w:ascii="Times New Roman" w:eastAsia="Times New Roman" w:hAnsi="Times New Roman" w:cs="Times New Roman"/>
          <w:sz w:val="25"/>
          <w:szCs w:val="25"/>
        </w:rPr>
        <w:t xml:space="preserve">, which supported such contention. </w:t>
      </w:r>
    </w:p>
    <w:p w:rsidR="00107DF2" w:rsidRDefault="00107DF2" w:rsidP="00107DF2">
      <w:pPr>
        <w:spacing w:after="0" w:line="240" w:lineRule="auto"/>
        <w:jc w:val="both"/>
        <w:rPr>
          <w:rFonts w:ascii="Times New Roman" w:eastAsia="Times New Roman" w:hAnsi="Times New Roman" w:cs="Times New Roman"/>
          <w:sz w:val="25"/>
          <w:szCs w:val="25"/>
        </w:rPr>
      </w:pP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20.   Since the grievance of the appellants was only with regard to the rate of</w:t>
      </w:r>
      <w:proofErr w:type="gramStart"/>
      <w:r w:rsidRPr="00107DF2">
        <w:rPr>
          <w:rFonts w:ascii="Times New Roman" w:eastAsia="Times New Roman" w:hAnsi="Times New Roman" w:cs="Times New Roman"/>
          <w:sz w:val="25"/>
          <w:szCs w:val="25"/>
        </w:rPr>
        <w:t>  deduction</w:t>
      </w:r>
      <w:proofErr w:type="gramEnd"/>
      <w:r w:rsidRPr="00107DF2">
        <w:rPr>
          <w:rFonts w:ascii="Times New Roman" w:eastAsia="Times New Roman" w:hAnsi="Times New Roman" w:cs="Times New Roman"/>
          <w:sz w:val="25"/>
          <w:szCs w:val="25"/>
        </w:rPr>
        <w:t>  on account of the developmental charges and an attempt was made on behalf of the appellants to assert that 70% deduction was unwarranted as the lands sought to be acquired were already within or adjacent to a developed area, on behalf of the State-respondent such deduction was sought to be justified.</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xml:space="preserve">21. It was submitted on behalf of the State- respondent that the observations made in the </w:t>
      </w:r>
      <w:proofErr w:type="spellStart"/>
      <w:r w:rsidRPr="00107DF2">
        <w:rPr>
          <w:rFonts w:ascii="Times New Roman" w:eastAsia="Times New Roman" w:hAnsi="Times New Roman" w:cs="Times New Roman"/>
          <w:sz w:val="25"/>
          <w:szCs w:val="25"/>
        </w:rPr>
        <w:t>Lucknow</w:t>
      </w:r>
      <w:proofErr w:type="spellEnd"/>
      <w:r w:rsidRPr="00107DF2">
        <w:rPr>
          <w:rFonts w:ascii="Times New Roman" w:eastAsia="Times New Roman" w:hAnsi="Times New Roman" w:cs="Times New Roman"/>
          <w:sz w:val="25"/>
          <w:szCs w:val="25"/>
        </w:rPr>
        <w:t xml:space="preserve"> Development Authority case was more by way of caution than laying down the general law which finds consistent expression in various other decisions of this Court, such as </w:t>
      </w:r>
      <w:r w:rsidRPr="00107DF2">
        <w:rPr>
          <w:rFonts w:ascii="Times New Roman" w:eastAsia="Times New Roman" w:hAnsi="Times New Roman" w:cs="Times New Roman"/>
          <w:i/>
          <w:sz w:val="25"/>
          <w:szCs w:val="25"/>
        </w:rPr>
        <w:t xml:space="preserve">Union of India vs. Ram </w:t>
      </w:r>
      <w:proofErr w:type="spellStart"/>
      <w:r w:rsidRPr="00107DF2">
        <w:rPr>
          <w:rFonts w:ascii="Times New Roman" w:eastAsia="Times New Roman" w:hAnsi="Times New Roman" w:cs="Times New Roman"/>
          <w:i/>
          <w:sz w:val="25"/>
          <w:szCs w:val="25"/>
        </w:rPr>
        <w:t>Phool</w:t>
      </w:r>
      <w:proofErr w:type="spellEnd"/>
      <w:r w:rsidRPr="00107DF2">
        <w:rPr>
          <w:rFonts w:ascii="Times New Roman" w:eastAsia="Times New Roman" w:hAnsi="Times New Roman" w:cs="Times New Roman"/>
          <w:i/>
          <w:sz w:val="25"/>
          <w:szCs w:val="25"/>
        </w:rPr>
        <w:t xml:space="preserve"> and another</w:t>
      </w:r>
      <w:r w:rsidR="00107DF2" w:rsidRPr="00107DF2">
        <w:rPr>
          <w:rFonts w:ascii="Times New Roman" w:eastAsia="Times New Roman" w:hAnsi="Times New Roman" w:cs="Times New Roman"/>
          <w:i/>
          <w:sz w:val="25"/>
          <w:szCs w:val="25"/>
          <w:vertAlign w:val="superscript"/>
        </w:rPr>
        <w:t>4</w:t>
      </w:r>
      <w:r w:rsidRPr="00107DF2">
        <w:rPr>
          <w:rFonts w:ascii="Times New Roman" w:eastAsia="Times New Roman" w:hAnsi="Times New Roman" w:cs="Times New Roman"/>
          <w:sz w:val="25"/>
          <w:szCs w:val="25"/>
        </w:rPr>
        <w:t> in which it had been held that an isolated deed of sale showing a very high price cannot be the sole basis for determining the market value.</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xml:space="preserve">22. It was submitted that the said view was reiterated  in the case of  </w:t>
      </w:r>
      <w:proofErr w:type="spellStart"/>
      <w:r w:rsidRPr="00107DF2">
        <w:rPr>
          <w:rFonts w:ascii="Times New Roman" w:eastAsia="Times New Roman" w:hAnsi="Times New Roman" w:cs="Times New Roman"/>
          <w:sz w:val="25"/>
          <w:szCs w:val="25"/>
        </w:rPr>
        <w:t>Ranvir</w:t>
      </w:r>
      <w:proofErr w:type="spellEnd"/>
      <w:r w:rsidRPr="00107DF2">
        <w:rPr>
          <w:rFonts w:ascii="Times New Roman" w:eastAsia="Times New Roman" w:hAnsi="Times New Roman" w:cs="Times New Roman"/>
          <w:sz w:val="25"/>
          <w:szCs w:val="25"/>
        </w:rPr>
        <w:t xml:space="preserve">  Singh  (supra), which, in </w:t>
      </w:r>
      <w:proofErr w:type="spellStart"/>
      <w:r w:rsidRPr="00107DF2">
        <w:rPr>
          <w:rFonts w:ascii="Times New Roman" w:eastAsia="Times New Roman" w:hAnsi="Times New Roman" w:cs="Times New Roman"/>
          <w:sz w:val="25"/>
          <w:szCs w:val="25"/>
        </w:rPr>
        <w:t>fact,had</w:t>
      </w:r>
      <w:proofErr w:type="spellEnd"/>
      <w:r w:rsidRPr="00107DF2">
        <w:rPr>
          <w:rFonts w:ascii="Times New Roman" w:eastAsia="Times New Roman" w:hAnsi="Times New Roman" w:cs="Times New Roman"/>
          <w:sz w:val="25"/>
          <w:szCs w:val="25"/>
        </w:rPr>
        <w:t xml:space="preserve"> been relied upon by  the appellants in relation  to the</w:t>
      </w:r>
    </w:p>
    <w:p w:rsidR="00921282" w:rsidRPr="00107DF2" w:rsidRDefault="00921282" w:rsidP="00107DF2">
      <w:pPr>
        <w:spacing w:after="0" w:line="240" w:lineRule="auto"/>
        <w:jc w:val="both"/>
        <w:rPr>
          <w:rFonts w:ascii="Times New Roman" w:eastAsia="Times New Roman" w:hAnsi="Times New Roman" w:cs="Times New Roman"/>
          <w:sz w:val="25"/>
          <w:szCs w:val="25"/>
        </w:rPr>
      </w:pPr>
      <w:proofErr w:type="gramStart"/>
      <w:r w:rsidRPr="00107DF2">
        <w:rPr>
          <w:rFonts w:ascii="Times New Roman" w:eastAsia="Times New Roman" w:hAnsi="Times New Roman" w:cs="Times New Roman"/>
          <w:sz w:val="25"/>
          <w:szCs w:val="25"/>
        </w:rPr>
        <w:t>submissions</w:t>
      </w:r>
      <w:proofErr w:type="gramEnd"/>
      <w:r w:rsidRPr="00107DF2">
        <w:rPr>
          <w:rFonts w:ascii="Times New Roman" w:eastAsia="Times New Roman" w:hAnsi="Times New Roman" w:cs="Times New Roman"/>
          <w:sz w:val="25"/>
          <w:szCs w:val="25"/>
        </w:rPr>
        <w:t xml:space="preserve"> made with regard to Section 51-A of the LA Act.</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23.   It was urged that this Court has consistently held that small tracts of land purchased for a particular purpose may fetch fancy prices in terms of its location and the need for acquisition by the vendee, but   the same basis could not be applied to each tract of land which were yet to be</w:t>
      </w:r>
      <w:proofErr w:type="gramStart"/>
      <w:r w:rsidRPr="00107DF2">
        <w:rPr>
          <w:rFonts w:ascii="Times New Roman" w:eastAsia="Times New Roman" w:hAnsi="Times New Roman" w:cs="Times New Roman"/>
          <w:sz w:val="25"/>
          <w:szCs w:val="25"/>
        </w:rPr>
        <w:t>  developed</w:t>
      </w:r>
      <w:proofErr w:type="gramEnd"/>
      <w:r w:rsidRPr="00107DF2">
        <w:rPr>
          <w:rFonts w:ascii="Times New Roman" w:eastAsia="Times New Roman" w:hAnsi="Times New Roman" w:cs="Times New Roman"/>
          <w:sz w:val="25"/>
          <w:szCs w:val="25"/>
        </w:rPr>
        <w:t xml:space="preserve">  for public purposes such as housing or setting apart an </w:t>
      </w:r>
      <w:r w:rsidRPr="00107DF2">
        <w:rPr>
          <w:rFonts w:ascii="Times New Roman" w:eastAsia="Times New Roman" w:hAnsi="Times New Roman" w:cs="Times New Roman"/>
          <w:sz w:val="25"/>
          <w:szCs w:val="25"/>
        </w:rPr>
        <w:lastRenderedPageBreak/>
        <w:t>area    for a  particular purpose such       as education and/or industrialization. It was submitted that in such cases there could be no comparison   with regard to the value of the lands</w:t>
      </w:r>
      <w:proofErr w:type="gramStart"/>
      <w:r w:rsidRPr="00107DF2">
        <w:rPr>
          <w:rFonts w:ascii="Times New Roman" w:eastAsia="Times New Roman" w:hAnsi="Times New Roman" w:cs="Times New Roman"/>
          <w:sz w:val="25"/>
          <w:szCs w:val="25"/>
        </w:rPr>
        <w:t>  covered</w:t>
      </w:r>
      <w:proofErr w:type="gramEnd"/>
      <w:r w:rsidRPr="00107DF2">
        <w:rPr>
          <w:rFonts w:ascii="Times New Roman" w:eastAsia="Times New Roman" w:hAnsi="Times New Roman" w:cs="Times New Roman"/>
          <w:sz w:val="25"/>
          <w:szCs w:val="25"/>
        </w:rPr>
        <w:t xml:space="preserve"> by the sale deed and those proposed to be acquired, and that the sale price of such a small tract of land was not a safe basis for determining the value of a very large    tract   of   land   using   the   comparative method.</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xml:space="preserve">24. It was, however, fairly submitted   that   in </w:t>
      </w:r>
      <w:proofErr w:type="spellStart"/>
      <w:r w:rsidRPr="00107DF2">
        <w:rPr>
          <w:rFonts w:ascii="Times New Roman" w:eastAsia="Times New Roman" w:hAnsi="Times New Roman" w:cs="Times New Roman"/>
          <w:i/>
          <w:sz w:val="25"/>
          <w:szCs w:val="25"/>
        </w:rPr>
        <w:t>Ravinder</w:t>
      </w:r>
      <w:proofErr w:type="spellEnd"/>
      <w:r w:rsidRPr="00107DF2">
        <w:rPr>
          <w:rFonts w:ascii="Times New Roman" w:eastAsia="Times New Roman" w:hAnsi="Times New Roman" w:cs="Times New Roman"/>
          <w:i/>
          <w:sz w:val="25"/>
          <w:szCs w:val="25"/>
        </w:rPr>
        <w:t xml:space="preserve"> </w:t>
      </w:r>
      <w:proofErr w:type="spellStart"/>
      <w:r w:rsidRPr="00107DF2">
        <w:rPr>
          <w:rFonts w:ascii="Times New Roman" w:eastAsia="Times New Roman" w:hAnsi="Times New Roman" w:cs="Times New Roman"/>
          <w:i/>
          <w:sz w:val="25"/>
          <w:szCs w:val="25"/>
        </w:rPr>
        <w:t>Narain</w:t>
      </w:r>
      <w:proofErr w:type="spellEnd"/>
      <w:r w:rsidRPr="00107DF2">
        <w:rPr>
          <w:rFonts w:ascii="Times New Roman" w:eastAsia="Times New Roman" w:hAnsi="Times New Roman" w:cs="Times New Roman"/>
          <w:i/>
          <w:sz w:val="25"/>
          <w:szCs w:val="25"/>
        </w:rPr>
        <w:t xml:space="preserve"> vs. Union of India</w:t>
      </w:r>
      <w:r w:rsidR="00107DF2" w:rsidRPr="00107DF2">
        <w:rPr>
          <w:rFonts w:ascii="Times New Roman" w:eastAsia="Times New Roman" w:hAnsi="Times New Roman" w:cs="Times New Roman"/>
          <w:i/>
          <w:sz w:val="25"/>
          <w:szCs w:val="25"/>
          <w:vertAlign w:val="superscript"/>
        </w:rPr>
        <w:t>5</w:t>
      </w:r>
      <w:r w:rsidRPr="00107DF2">
        <w:rPr>
          <w:rFonts w:ascii="Times New Roman" w:eastAsia="Times New Roman" w:hAnsi="Times New Roman" w:cs="Times New Roman"/>
          <w:sz w:val="25"/>
          <w:szCs w:val="25"/>
        </w:rPr>
        <w:t xml:space="preserve"> it has been observed in paragraphs 6 and 7 as follows:</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w:t>
      </w:r>
    </w:p>
    <w:p w:rsidR="00921282" w:rsidRPr="00107DF2" w:rsidRDefault="00921282" w:rsidP="00107DF2">
      <w:pPr>
        <w:spacing w:after="0" w:line="240" w:lineRule="auto"/>
        <w:ind w:left="720"/>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xml:space="preserve">"6. Where large area is the subject- matter of acquisition, rate at which small plots are sold cannot be said to be a safe criterion. Reference in this context may be made to three decisions of this Court in </w:t>
      </w:r>
      <w:r w:rsidRPr="00107DF2">
        <w:rPr>
          <w:rFonts w:ascii="Times New Roman" w:eastAsia="Times New Roman" w:hAnsi="Times New Roman" w:cs="Times New Roman"/>
          <w:i/>
          <w:sz w:val="25"/>
          <w:szCs w:val="25"/>
        </w:rPr>
        <w:t xml:space="preserve">Collector of </w:t>
      </w:r>
      <w:proofErr w:type="spellStart"/>
      <w:r w:rsidRPr="00107DF2">
        <w:rPr>
          <w:rFonts w:ascii="Times New Roman" w:eastAsia="Times New Roman" w:hAnsi="Times New Roman" w:cs="Times New Roman"/>
          <w:i/>
          <w:sz w:val="25"/>
          <w:szCs w:val="25"/>
        </w:rPr>
        <w:t>Lakhimpur</w:t>
      </w:r>
      <w:proofErr w:type="spellEnd"/>
      <w:r w:rsidRPr="00107DF2">
        <w:rPr>
          <w:rFonts w:ascii="Times New Roman" w:eastAsia="Times New Roman" w:hAnsi="Times New Roman" w:cs="Times New Roman"/>
          <w:i/>
          <w:sz w:val="25"/>
          <w:szCs w:val="25"/>
        </w:rPr>
        <w:t xml:space="preserve"> v. </w:t>
      </w:r>
      <w:proofErr w:type="spellStart"/>
      <w:r w:rsidRPr="00107DF2">
        <w:rPr>
          <w:rFonts w:ascii="Times New Roman" w:eastAsia="Times New Roman" w:hAnsi="Times New Roman" w:cs="Times New Roman"/>
          <w:i/>
          <w:sz w:val="25"/>
          <w:szCs w:val="25"/>
        </w:rPr>
        <w:t>Bhuban</w:t>
      </w:r>
      <w:proofErr w:type="spellEnd"/>
      <w:r w:rsidRPr="00107DF2">
        <w:rPr>
          <w:rFonts w:ascii="Times New Roman" w:eastAsia="Times New Roman" w:hAnsi="Times New Roman" w:cs="Times New Roman"/>
          <w:i/>
          <w:sz w:val="25"/>
          <w:szCs w:val="25"/>
        </w:rPr>
        <w:t xml:space="preserve"> Chandra Dutta</w:t>
      </w:r>
      <w:r w:rsidR="00107DF2" w:rsidRPr="00107DF2">
        <w:rPr>
          <w:rFonts w:ascii="Times New Roman" w:eastAsia="Times New Roman" w:hAnsi="Times New Roman" w:cs="Times New Roman"/>
          <w:i/>
          <w:sz w:val="25"/>
          <w:szCs w:val="25"/>
          <w:vertAlign w:val="superscript"/>
        </w:rPr>
        <w:t>6</w:t>
      </w:r>
      <w:r w:rsidRPr="00107DF2">
        <w:rPr>
          <w:rFonts w:ascii="Times New Roman" w:eastAsia="Times New Roman" w:hAnsi="Times New Roman" w:cs="Times New Roman"/>
          <w:i/>
          <w:sz w:val="25"/>
          <w:szCs w:val="25"/>
        </w:rPr>
        <w:t xml:space="preserve">, </w:t>
      </w:r>
      <w:proofErr w:type="spellStart"/>
      <w:r w:rsidRPr="00107DF2">
        <w:rPr>
          <w:rFonts w:ascii="Times New Roman" w:eastAsia="Times New Roman" w:hAnsi="Times New Roman" w:cs="Times New Roman"/>
          <w:i/>
          <w:sz w:val="25"/>
          <w:szCs w:val="25"/>
        </w:rPr>
        <w:t>Prithvi</w:t>
      </w:r>
      <w:proofErr w:type="spellEnd"/>
      <w:r w:rsidRPr="00107DF2">
        <w:rPr>
          <w:rFonts w:ascii="Times New Roman" w:eastAsia="Times New Roman" w:hAnsi="Times New Roman" w:cs="Times New Roman"/>
          <w:i/>
          <w:sz w:val="25"/>
          <w:szCs w:val="25"/>
        </w:rPr>
        <w:t xml:space="preserve"> Raj </w:t>
      </w:r>
      <w:proofErr w:type="spellStart"/>
      <w:r w:rsidRPr="00107DF2">
        <w:rPr>
          <w:rFonts w:ascii="Times New Roman" w:eastAsia="Times New Roman" w:hAnsi="Times New Roman" w:cs="Times New Roman"/>
          <w:i/>
          <w:sz w:val="25"/>
          <w:szCs w:val="25"/>
        </w:rPr>
        <w:t>Taneja</w:t>
      </w:r>
      <w:proofErr w:type="spellEnd"/>
      <w:r w:rsidRPr="00107DF2">
        <w:rPr>
          <w:rFonts w:ascii="Times New Roman" w:eastAsia="Times New Roman" w:hAnsi="Times New Roman" w:cs="Times New Roman"/>
          <w:i/>
          <w:sz w:val="25"/>
          <w:szCs w:val="25"/>
        </w:rPr>
        <w:t xml:space="preserve"> v. State of M.P.</w:t>
      </w:r>
      <w:r w:rsidR="00107DF2" w:rsidRPr="00107DF2">
        <w:rPr>
          <w:rFonts w:ascii="Times New Roman" w:eastAsia="Times New Roman" w:hAnsi="Times New Roman" w:cs="Times New Roman"/>
          <w:i/>
          <w:sz w:val="25"/>
          <w:szCs w:val="25"/>
          <w:vertAlign w:val="superscript"/>
        </w:rPr>
        <w:t>7</w:t>
      </w:r>
      <w:r w:rsidR="00107DF2" w:rsidRPr="00107DF2">
        <w:rPr>
          <w:rFonts w:ascii="Times New Roman" w:eastAsia="Times New Roman" w:hAnsi="Times New Roman" w:cs="Times New Roman"/>
          <w:i/>
          <w:sz w:val="25"/>
          <w:szCs w:val="25"/>
        </w:rPr>
        <w:t xml:space="preserve"> </w:t>
      </w:r>
      <w:r w:rsidRPr="00107DF2">
        <w:rPr>
          <w:rFonts w:ascii="Times New Roman" w:eastAsia="Times New Roman" w:hAnsi="Times New Roman" w:cs="Times New Roman"/>
          <w:i/>
          <w:sz w:val="25"/>
          <w:szCs w:val="25"/>
        </w:rPr>
        <w:t xml:space="preserve">and </w:t>
      </w:r>
      <w:proofErr w:type="spellStart"/>
      <w:r w:rsidRPr="00107DF2">
        <w:rPr>
          <w:rFonts w:ascii="Times New Roman" w:eastAsia="Times New Roman" w:hAnsi="Times New Roman" w:cs="Times New Roman"/>
          <w:i/>
          <w:sz w:val="25"/>
          <w:szCs w:val="25"/>
        </w:rPr>
        <w:t>Kausalya</w:t>
      </w:r>
      <w:proofErr w:type="spellEnd"/>
      <w:r w:rsidRPr="00107DF2">
        <w:rPr>
          <w:rFonts w:ascii="Times New Roman" w:eastAsia="Times New Roman" w:hAnsi="Times New Roman" w:cs="Times New Roman"/>
          <w:i/>
          <w:sz w:val="25"/>
          <w:szCs w:val="25"/>
        </w:rPr>
        <w:t xml:space="preserve">   Devi    </w:t>
      </w:r>
      <w:proofErr w:type="spellStart"/>
      <w:r w:rsidRPr="00107DF2">
        <w:rPr>
          <w:rFonts w:ascii="Times New Roman" w:eastAsia="Times New Roman" w:hAnsi="Times New Roman" w:cs="Times New Roman"/>
          <w:i/>
          <w:sz w:val="25"/>
          <w:szCs w:val="25"/>
        </w:rPr>
        <w:t>Bogra</w:t>
      </w:r>
      <w:proofErr w:type="spellEnd"/>
      <w:r w:rsidRPr="00107DF2">
        <w:rPr>
          <w:rFonts w:ascii="Times New Roman" w:eastAsia="Times New Roman" w:hAnsi="Times New Roman" w:cs="Times New Roman"/>
          <w:i/>
          <w:sz w:val="25"/>
          <w:szCs w:val="25"/>
        </w:rPr>
        <w:t>    v.   Land Acquisition     Officer,   Aurangabad</w:t>
      </w:r>
      <w:r w:rsidR="00107DF2" w:rsidRPr="00107DF2">
        <w:rPr>
          <w:rFonts w:ascii="Times New Roman" w:eastAsia="Times New Roman" w:hAnsi="Times New Roman" w:cs="Times New Roman"/>
          <w:i/>
          <w:sz w:val="25"/>
          <w:szCs w:val="25"/>
          <w:vertAlign w:val="superscript"/>
        </w:rPr>
        <w:t>8</w:t>
      </w:r>
      <w:r w:rsidRPr="00107DF2">
        <w:rPr>
          <w:rFonts w:ascii="Times New Roman" w:eastAsia="Times New Roman" w:hAnsi="Times New Roman" w:cs="Times New Roman"/>
          <w:sz w:val="25"/>
          <w:szCs w:val="25"/>
        </w:rPr>
        <w:t xml:space="preserve">. </w:t>
      </w:r>
    </w:p>
    <w:p w:rsidR="00921282" w:rsidRPr="00107DF2" w:rsidRDefault="00921282" w:rsidP="00107DF2">
      <w:pPr>
        <w:spacing w:after="0" w:line="240" w:lineRule="auto"/>
        <w:ind w:left="720"/>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w:t>
      </w:r>
    </w:p>
    <w:p w:rsidR="00921282" w:rsidRPr="00107DF2" w:rsidRDefault="00921282" w:rsidP="00107DF2">
      <w:pPr>
        <w:spacing w:after="0" w:line="240" w:lineRule="auto"/>
        <w:ind w:left="720"/>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7. It cannot, however, be laid down as an absolute proposition that the rates fixed for the small plots cannot be the basis for fixation of the rate. For example, where there is no   other   material,</w:t>
      </w:r>
      <w:proofErr w:type="gramStart"/>
      <w:r w:rsidRPr="00107DF2">
        <w:rPr>
          <w:rFonts w:ascii="Times New Roman" w:eastAsia="Times New Roman" w:hAnsi="Times New Roman" w:cs="Times New Roman"/>
          <w:sz w:val="25"/>
          <w:szCs w:val="25"/>
        </w:rPr>
        <w:t>  it</w:t>
      </w:r>
      <w:proofErr w:type="gramEnd"/>
      <w:r w:rsidRPr="00107DF2">
        <w:rPr>
          <w:rFonts w:ascii="Times New Roman" w:eastAsia="Times New Roman" w:hAnsi="Times New Roman" w:cs="Times New Roman"/>
          <w:sz w:val="25"/>
          <w:szCs w:val="25"/>
        </w:rPr>
        <w:t>   may   in appropriate cases be open to the  adjudicating court to make comparison of the prices paid for small plots of land.    However,   in   such   cases necessary deductions/adjustments have to be made while determining the prices."</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xml:space="preserve">25.   It was also submitted that in the instant case excluding all the other exemplars, the High Court had chosen to rely on Ex. P.6, where a small tract of land (148 sq. yards) had been sold at the rate of Rs.9,60,000/- per acre and the compensation had been worked out on such basis after applying  deduction of 70% of the market value towards developmental charges, since the lands acquired were agricultural and huge investment was required to be made by the State    to   make the same suitable for the purpose for which they had been acquired, namely, the setting up of a new grain market with all the ancillary infrastructure needed by the Market Committee, </w:t>
      </w:r>
      <w:proofErr w:type="spellStart"/>
      <w:r w:rsidRPr="00107DF2">
        <w:rPr>
          <w:rFonts w:ascii="Times New Roman" w:eastAsia="Times New Roman" w:hAnsi="Times New Roman" w:cs="Times New Roman"/>
          <w:sz w:val="25"/>
          <w:szCs w:val="25"/>
        </w:rPr>
        <w:t>Ismailabad</w:t>
      </w:r>
      <w:proofErr w:type="spellEnd"/>
      <w:r w:rsidRPr="00107DF2">
        <w:rPr>
          <w:rFonts w:ascii="Times New Roman" w:eastAsia="Times New Roman" w:hAnsi="Times New Roman" w:cs="Times New Roman"/>
          <w:sz w:val="25"/>
          <w:szCs w:val="25"/>
        </w:rPr>
        <w:t>.</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26.   It was submitted that the deduction of 70%, which had been applied by the High Court, was quite reasonable as the sale deed relied upon by the appellants related to lands sold for shops etc. and Ex. P.6 and other sale instances had been relied upon</w:t>
      </w:r>
      <w:proofErr w:type="gramStart"/>
      <w:r w:rsidRPr="00107DF2">
        <w:rPr>
          <w:rFonts w:ascii="Times New Roman" w:eastAsia="Times New Roman" w:hAnsi="Times New Roman" w:cs="Times New Roman"/>
          <w:sz w:val="25"/>
          <w:szCs w:val="25"/>
        </w:rPr>
        <w:t>  by</w:t>
      </w:r>
      <w:proofErr w:type="gramEnd"/>
      <w:r w:rsidRPr="00107DF2">
        <w:rPr>
          <w:rFonts w:ascii="Times New Roman" w:eastAsia="Times New Roman" w:hAnsi="Times New Roman" w:cs="Times New Roman"/>
          <w:sz w:val="25"/>
          <w:szCs w:val="25"/>
        </w:rPr>
        <w:t xml:space="preserve"> the appellants for   smaller areas.  It was urged that in     </w:t>
      </w:r>
      <w:proofErr w:type="spellStart"/>
      <w:r w:rsidRPr="00107DF2">
        <w:rPr>
          <w:rFonts w:ascii="Times New Roman" w:eastAsia="Times New Roman" w:hAnsi="Times New Roman" w:cs="Times New Roman"/>
          <w:i/>
          <w:sz w:val="25"/>
          <w:szCs w:val="25"/>
        </w:rPr>
        <w:t>Viluben</w:t>
      </w:r>
      <w:proofErr w:type="spellEnd"/>
      <w:r w:rsidRPr="00107DF2">
        <w:rPr>
          <w:rFonts w:ascii="Times New Roman" w:eastAsia="Times New Roman" w:hAnsi="Times New Roman" w:cs="Times New Roman"/>
          <w:i/>
          <w:sz w:val="25"/>
          <w:szCs w:val="25"/>
        </w:rPr>
        <w:t xml:space="preserve"> </w:t>
      </w:r>
      <w:proofErr w:type="spellStart"/>
      <w:r w:rsidRPr="00107DF2">
        <w:rPr>
          <w:rFonts w:ascii="Times New Roman" w:eastAsia="Times New Roman" w:hAnsi="Times New Roman" w:cs="Times New Roman"/>
          <w:i/>
          <w:sz w:val="25"/>
          <w:szCs w:val="25"/>
        </w:rPr>
        <w:t>Jhalejar</w:t>
      </w:r>
      <w:proofErr w:type="spellEnd"/>
      <w:r w:rsidRPr="00107DF2">
        <w:rPr>
          <w:rFonts w:ascii="Times New Roman" w:eastAsia="Times New Roman" w:hAnsi="Times New Roman" w:cs="Times New Roman"/>
          <w:i/>
          <w:sz w:val="25"/>
          <w:szCs w:val="25"/>
        </w:rPr>
        <w:t xml:space="preserve"> Contractor (Dead) by </w:t>
      </w:r>
      <w:proofErr w:type="spellStart"/>
      <w:r w:rsidRPr="00107DF2">
        <w:rPr>
          <w:rFonts w:ascii="Times New Roman" w:eastAsia="Times New Roman" w:hAnsi="Times New Roman" w:cs="Times New Roman"/>
          <w:i/>
          <w:sz w:val="25"/>
          <w:szCs w:val="25"/>
        </w:rPr>
        <w:t>Lrs</w:t>
      </w:r>
      <w:proofErr w:type="spellEnd"/>
      <w:r w:rsidRPr="00107DF2">
        <w:rPr>
          <w:rFonts w:ascii="Times New Roman" w:eastAsia="Times New Roman" w:hAnsi="Times New Roman" w:cs="Times New Roman"/>
          <w:i/>
          <w:sz w:val="25"/>
          <w:szCs w:val="25"/>
        </w:rPr>
        <w:t xml:space="preserve">. </w:t>
      </w:r>
      <w:proofErr w:type="gramStart"/>
      <w:r w:rsidRPr="00107DF2">
        <w:rPr>
          <w:rFonts w:ascii="Times New Roman" w:eastAsia="Times New Roman" w:hAnsi="Times New Roman" w:cs="Times New Roman"/>
          <w:i/>
          <w:sz w:val="25"/>
          <w:szCs w:val="25"/>
        </w:rPr>
        <w:t>Vs</w:t>
      </w:r>
      <w:proofErr w:type="gramEnd"/>
      <w:r w:rsidRPr="00107DF2">
        <w:rPr>
          <w:rFonts w:ascii="Times New Roman" w:eastAsia="Times New Roman" w:hAnsi="Times New Roman" w:cs="Times New Roman"/>
          <w:i/>
          <w:sz w:val="25"/>
          <w:szCs w:val="25"/>
        </w:rPr>
        <w:t>. State of Gujarat</w:t>
      </w:r>
      <w:r w:rsidR="00107DF2" w:rsidRPr="00107DF2">
        <w:rPr>
          <w:rFonts w:ascii="Times New Roman" w:eastAsia="Times New Roman" w:hAnsi="Times New Roman" w:cs="Times New Roman"/>
          <w:i/>
          <w:sz w:val="25"/>
          <w:szCs w:val="25"/>
          <w:vertAlign w:val="superscript"/>
        </w:rPr>
        <w:t>9</w:t>
      </w:r>
      <w:r w:rsidRPr="00107DF2">
        <w:rPr>
          <w:rFonts w:ascii="Times New Roman" w:eastAsia="Times New Roman" w:hAnsi="Times New Roman" w:cs="Times New Roman"/>
          <w:sz w:val="25"/>
          <w:szCs w:val="25"/>
        </w:rPr>
        <w:t xml:space="preserve"> this Court had held that there can be different deductions depending upon various factors. It was submitted that in   various other decisions and     in particular in </w:t>
      </w:r>
      <w:proofErr w:type="spellStart"/>
      <w:r w:rsidRPr="00107DF2">
        <w:rPr>
          <w:rFonts w:ascii="Times New Roman" w:eastAsia="Times New Roman" w:hAnsi="Times New Roman" w:cs="Times New Roman"/>
          <w:i/>
          <w:sz w:val="25"/>
          <w:szCs w:val="25"/>
        </w:rPr>
        <w:t>K.S.Shivadevamma</w:t>
      </w:r>
      <w:proofErr w:type="spellEnd"/>
      <w:r w:rsidRPr="00107DF2">
        <w:rPr>
          <w:rFonts w:ascii="Times New Roman" w:eastAsia="Times New Roman" w:hAnsi="Times New Roman" w:cs="Times New Roman"/>
          <w:i/>
          <w:sz w:val="25"/>
          <w:szCs w:val="25"/>
        </w:rPr>
        <w:t xml:space="preserve"> vs. Assistant Commissioner of Land Acquisition Officer</w:t>
      </w:r>
      <w:r w:rsidR="00107DF2" w:rsidRPr="00107DF2">
        <w:rPr>
          <w:rFonts w:ascii="Times New Roman" w:eastAsia="Times New Roman" w:hAnsi="Times New Roman" w:cs="Times New Roman"/>
          <w:i/>
          <w:sz w:val="25"/>
          <w:szCs w:val="25"/>
          <w:vertAlign w:val="superscript"/>
        </w:rPr>
        <w:t>10</w:t>
      </w:r>
      <w:r w:rsidRPr="00107DF2">
        <w:rPr>
          <w:rFonts w:ascii="Times New Roman" w:eastAsia="Times New Roman" w:hAnsi="Times New Roman" w:cs="Times New Roman"/>
          <w:sz w:val="25"/>
          <w:szCs w:val="25"/>
        </w:rPr>
        <w:t xml:space="preserve"> it was held that although as a general rule 33- 1/2 per cent is required to be deducted for laying of roads and other amenities, deduction to the extent of 53% was not improper and the extent of deduction depends upon the development need    in    each case. In   </w:t>
      </w:r>
      <w:proofErr w:type="spellStart"/>
      <w:r w:rsidRPr="00107DF2">
        <w:rPr>
          <w:rFonts w:ascii="Times New Roman" w:eastAsia="Times New Roman" w:hAnsi="Times New Roman" w:cs="Times New Roman"/>
          <w:i/>
          <w:sz w:val="25"/>
          <w:szCs w:val="25"/>
        </w:rPr>
        <w:t>Vasavva</w:t>
      </w:r>
      <w:proofErr w:type="spellEnd"/>
      <w:r w:rsidRPr="00107DF2">
        <w:rPr>
          <w:rFonts w:ascii="Times New Roman" w:eastAsia="Times New Roman" w:hAnsi="Times New Roman" w:cs="Times New Roman"/>
          <w:i/>
          <w:sz w:val="25"/>
          <w:szCs w:val="25"/>
        </w:rPr>
        <w:t xml:space="preserve"> (</w:t>
      </w:r>
      <w:proofErr w:type="spellStart"/>
      <w:r w:rsidRPr="00107DF2">
        <w:rPr>
          <w:rFonts w:ascii="Times New Roman" w:eastAsia="Times New Roman" w:hAnsi="Times New Roman" w:cs="Times New Roman"/>
          <w:i/>
          <w:sz w:val="25"/>
          <w:szCs w:val="25"/>
        </w:rPr>
        <w:t>Smt</w:t>
      </w:r>
      <w:proofErr w:type="spellEnd"/>
      <w:r w:rsidRPr="00107DF2">
        <w:rPr>
          <w:rFonts w:ascii="Times New Roman" w:eastAsia="Times New Roman" w:hAnsi="Times New Roman" w:cs="Times New Roman"/>
          <w:i/>
          <w:sz w:val="25"/>
          <w:szCs w:val="25"/>
        </w:rPr>
        <w:t>) and others vs. Special Land Acquisition Officer and others</w:t>
      </w:r>
      <w:r w:rsidR="00107DF2" w:rsidRPr="00107DF2">
        <w:rPr>
          <w:rFonts w:ascii="Times New Roman" w:eastAsia="Times New Roman" w:hAnsi="Times New Roman" w:cs="Times New Roman"/>
          <w:i/>
          <w:sz w:val="25"/>
          <w:szCs w:val="25"/>
          <w:vertAlign w:val="superscript"/>
        </w:rPr>
        <w:t>11</w:t>
      </w:r>
      <w:r w:rsidRPr="00107DF2">
        <w:rPr>
          <w:rFonts w:ascii="Times New Roman" w:eastAsia="Times New Roman" w:hAnsi="Times New Roman" w:cs="Times New Roman"/>
          <w:sz w:val="25"/>
          <w:szCs w:val="25"/>
        </w:rPr>
        <w:t xml:space="preserve"> this Court upheld a deduction of 65%.</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xml:space="preserve">27.   As an alternative argument it was urged on behalf of the State-respondent that since the High Court had relied only on Ex. P.6 which related to the sale of only 4 </w:t>
      </w:r>
      <w:proofErr w:type="spellStart"/>
      <w:r w:rsidRPr="00107DF2">
        <w:rPr>
          <w:rFonts w:ascii="Times New Roman" w:eastAsia="Times New Roman" w:hAnsi="Times New Roman" w:cs="Times New Roman"/>
          <w:sz w:val="25"/>
          <w:szCs w:val="25"/>
        </w:rPr>
        <w:t>marlas</w:t>
      </w:r>
      <w:proofErr w:type="spellEnd"/>
      <w:r w:rsidRPr="00107DF2">
        <w:rPr>
          <w:rFonts w:ascii="Times New Roman" w:eastAsia="Times New Roman" w:hAnsi="Times New Roman" w:cs="Times New Roman"/>
          <w:sz w:val="25"/>
          <w:szCs w:val="25"/>
        </w:rPr>
        <w:t xml:space="preserve"> of land, the </w:t>
      </w:r>
      <w:r w:rsidRPr="00107DF2">
        <w:rPr>
          <w:rFonts w:ascii="Times New Roman" w:eastAsia="Times New Roman" w:hAnsi="Times New Roman" w:cs="Times New Roman"/>
          <w:sz w:val="25"/>
          <w:szCs w:val="25"/>
        </w:rPr>
        <w:lastRenderedPageBreak/>
        <w:t>matter could be remanded to the High Court for   consideration    of   all   the   various   sale deeds which were produced on behalf of the parties, to arrive at a fresh valuation for the acquired lands.</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28.   It was submitted that in view of the above the submissions made on behalf the claimants under Section 51-A of the LA Act was not relevant for determination of the point raised in these appeals.</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29.   Having   carefully    considered   the   submissions made on behalf of the respective parties we see no reason to interfere with the decision of the High Court.</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30.   The learned Single Judge of the High Court has taken    into    consideration the nature of   the land    sought to    be acquired in   relying      on Ex.P.6 in assessing the market value thereof and has applied a deduction of 70% in arriving at   the   compensation to be    awarded     to    the claimants in respect of the said lands. The various other documents which were produced on behalf of the claimants were in respect of the lands which were similar to the lands forming the subject matter of Ex.P.6. The learned Single Judge has given reasons for not relying on all the other exemplars in choosing to rely on Ex.P.6 alone. But the</w:t>
      </w:r>
      <w:proofErr w:type="gramStart"/>
      <w:r w:rsidRPr="00107DF2">
        <w:rPr>
          <w:rFonts w:ascii="Times New Roman" w:eastAsia="Times New Roman" w:hAnsi="Times New Roman" w:cs="Times New Roman"/>
          <w:sz w:val="25"/>
          <w:szCs w:val="25"/>
        </w:rPr>
        <w:t>  rate</w:t>
      </w:r>
      <w:proofErr w:type="gramEnd"/>
      <w:r w:rsidRPr="00107DF2">
        <w:rPr>
          <w:rFonts w:ascii="Times New Roman" w:eastAsia="Times New Roman" w:hAnsi="Times New Roman" w:cs="Times New Roman"/>
          <w:sz w:val="25"/>
          <w:szCs w:val="25"/>
        </w:rPr>
        <w:t xml:space="preserve"> of deduction applied appears to be on the high side in relation to the developmental work involved in making the acquired land    suitable for   the purposes for which they were so acquired. The acquired lands are    adjacent to the village </w:t>
      </w:r>
      <w:proofErr w:type="spellStart"/>
      <w:r w:rsidRPr="00107DF2">
        <w:rPr>
          <w:rFonts w:ascii="Times New Roman" w:eastAsia="Times New Roman" w:hAnsi="Times New Roman" w:cs="Times New Roman"/>
          <w:sz w:val="25"/>
          <w:szCs w:val="25"/>
        </w:rPr>
        <w:t>abadi</w:t>
      </w:r>
      <w:proofErr w:type="spellEnd"/>
      <w:r w:rsidRPr="00107DF2">
        <w:rPr>
          <w:rFonts w:ascii="Times New Roman" w:eastAsia="Times New Roman" w:hAnsi="Times New Roman" w:cs="Times New Roman"/>
          <w:sz w:val="25"/>
          <w:szCs w:val="25"/>
        </w:rPr>
        <w:t xml:space="preserve"> which is already    developed. Having regard to the consistent view that a deduction of 1/3rd of the market value is normal, though a     higher deduction is permissible, we are of the view that deduction of 60% would meet the expenditure towards developmental charges considering the proximity of the acquired lands to the areas already developed. </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xml:space="preserve">31. In our view, the Division Bench of the High Court while    dismissing the Letters    Patent Appeal filed by the claimants could have given proper reasons before dismissing the same in </w:t>
      </w:r>
      <w:proofErr w:type="spellStart"/>
      <w:r w:rsidRPr="00107DF2">
        <w:rPr>
          <w:rFonts w:ascii="Times New Roman" w:eastAsia="Times New Roman" w:hAnsi="Times New Roman" w:cs="Times New Roman"/>
          <w:sz w:val="25"/>
          <w:szCs w:val="25"/>
        </w:rPr>
        <w:t>limine</w:t>
      </w:r>
      <w:proofErr w:type="spellEnd"/>
      <w:r w:rsidRPr="00107DF2">
        <w:rPr>
          <w:rFonts w:ascii="Times New Roman" w:eastAsia="Times New Roman" w:hAnsi="Times New Roman" w:cs="Times New Roman"/>
          <w:sz w:val="25"/>
          <w:szCs w:val="25"/>
        </w:rPr>
        <w:t xml:space="preserve">. However, since the decision of the Division Bench endorses that of the learned single Judge, with which we have dealt with in detail, and with which we agree, save for the amount of deduction applied towards developmental charges, these appeals against the decision of the Division Bench    in dismissing the appeal filed by the appellant in C.A.Nos.1330-1332 of 2003, and all the other connected appeals have to be allowed in part. As far as the alternative submissions made on behalf of the State regarding remand of   these appeals to the High Court is concerned, we are not inclined to accept the same, since we are not convinced that such a course of action needs to be adopted. </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xml:space="preserve">32. The appeals are accordingly allowed in part only to the extent that the deduction of 70% applied by the learned   Single Judge and endorsed by the High Court is reduced to 60%. </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w:t>
      </w:r>
    </w:p>
    <w:p w:rsidR="00921282" w:rsidRPr="00107DF2" w:rsidRDefault="00921282" w:rsidP="00107DF2">
      <w:pPr>
        <w:spacing w:after="0" w:line="240" w:lineRule="auto"/>
        <w:jc w:val="both"/>
        <w:rPr>
          <w:rFonts w:ascii="Times New Roman" w:eastAsia="Times New Roman" w:hAnsi="Times New Roman" w:cs="Times New Roman"/>
          <w:sz w:val="25"/>
          <w:szCs w:val="25"/>
        </w:rPr>
      </w:pPr>
      <w:r w:rsidRPr="00107DF2">
        <w:rPr>
          <w:rFonts w:ascii="Times New Roman" w:eastAsia="Times New Roman" w:hAnsi="Times New Roman" w:cs="Times New Roman"/>
          <w:sz w:val="25"/>
          <w:szCs w:val="25"/>
        </w:rPr>
        <w:t xml:space="preserve">33.   Having regard to the facts of the case there will be no order as to costs. </w:t>
      </w:r>
    </w:p>
    <w:p w:rsidR="00107DF2" w:rsidRDefault="00107DF2" w:rsidP="00107DF2">
      <w:pPr>
        <w:spacing w:after="0" w:line="240" w:lineRule="auto"/>
        <w:jc w:val="both"/>
        <w:rPr>
          <w:rFonts w:ascii="Times New Roman" w:eastAsia="Times New Roman" w:hAnsi="Times New Roman" w:cs="Times New Roman"/>
          <w:sz w:val="25"/>
          <w:szCs w:val="25"/>
          <w:vertAlign w:val="superscript"/>
        </w:rPr>
      </w:pPr>
    </w:p>
    <w:p w:rsidR="00107DF2" w:rsidRDefault="00107DF2" w:rsidP="00107DF2">
      <w:pPr>
        <w:spacing w:after="0" w:line="240" w:lineRule="auto"/>
        <w:jc w:val="both"/>
        <w:rPr>
          <w:rFonts w:ascii="Times New Roman" w:eastAsia="Times New Roman" w:hAnsi="Times New Roman" w:cs="Times New Roman"/>
          <w:i/>
        </w:rPr>
      </w:pPr>
      <w:r w:rsidRPr="00107DF2">
        <w:rPr>
          <w:rFonts w:ascii="Times New Roman" w:eastAsia="Times New Roman" w:hAnsi="Times New Roman" w:cs="Times New Roman"/>
          <w:i/>
          <w:vertAlign w:val="superscript"/>
        </w:rPr>
        <w:t>1</w:t>
      </w:r>
      <w:r w:rsidRPr="00107DF2">
        <w:rPr>
          <w:rFonts w:ascii="Times New Roman" w:eastAsia="Times New Roman" w:hAnsi="Times New Roman" w:cs="Times New Roman"/>
          <w:i/>
        </w:rPr>
        <w:t xml:space="preserve">2007 (12) </w:t>
      </w:r>
      <w:r w:rsidRPr="00107DF2">
        <w:rPr>
          <w:rFonts w:ascii="Times New Roman" w:eastAsia="Times New Roman" w:hAnsi="Times New Roman" w:cs="Times New Roman"/>
          <w:i/>
        </w:rPr>
        <w:t xml:space="preserve">SCALE </w:t>
      </w:r>
      <w:r w:rsidRPr="00107DF2">
        <w:rPr>
          <w:rFonts w:ascii="Times New Roman" w:eastAsia="Times New Roman" w:hAnsi="Times New Roman" w:cs="Times New Roman"/>
          <w:i/>
        </w:rPr>
        <w:t>685</w:t>
      </w:r>
      <w:r>
        <w:rPr>
          <w:rFonts w:ascii="Times New Roman" w:eastAsia="Times New Roman" w:hAnsi="Times New Roman" w:cs="Times New Roman"/>
          <w:i/>
        </w:rPr>
        <w:t xml:space="preserve"> </w:t>
      </w:r>
      <w:bookmarkStart w:id="0" w:name="_GoBack"/>
      <w:bookmarkEnd w:id="0"/>
      <w:r w:rsidRPr="00107DF2">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107DF2">
        <w:rPr>
          <w:rFonts w:ascii="Times New Roman" w:eastAsia="Times New Roman" w:hAnsi="Times New Roman" w:cs="Times New Roman"/>
          <w:i/>
          <w:vertAlign w:val="superscript"/>
        </w:rPr>
        <w:t>2</w:t>
      </w:r>
      <w:r w:rsidRPr="00107DF2">
        <w:rPr>
          <w:rFonts w:ascii="Times New Roman" w:eastAsia="Times New Roman" w:hAnsi="Times New Roman" w:cs="Times New Roman"/>
          <w:i/>
        </w:rPr>
        <w:t xml:space="preserve">(2004) 8 SCC 270 </w:t>
      </w:r>
      <w:r>
        <w:rPr>
          <w:rFonts w:ascii="Times New Roman" w:eastAsia="Times New Roman" w:hAnsi="Times New Roman" w:cs="Times New Roman"/>
          <w:i/>
        </w:rPr>
        <w:t xml:space="preserve">             </w:t>
      </w:r>
      <w:r w:rsidRPr="00107DF2">
        <w:rPr>
          <w:rFonts w:ascii="Times New Roman" w:eastAsia="Times New Roman" w:hAnsi="Times New Roman" w:cs="Times New Roman"/>
          <w:i/>
          <w:vertAlign w:val="superscript"/>
        </w:rPr>
        <w:t>3</w:t>
      </w:r>
      <w:r w:rsidRPr="00107DF2">
        <w:rPr>
          <w:rFonts w:ascii="Times New Roman" w:eastAsia="Times New Roman" w:hAnsi="Times New Roman" w:cs="Times New Roman"/>
          <w:i/>
        </w:rPr>
        <w:t xml:space="preserve">(2005) 12 SCC 59 </w:t>
      </w:r>
      <w:r>
        <w:rPr>
          <w:rFonts w:ascii="Times New Roman" w:eastAsia="Times New Roman" w:hAnsi="Times New Roman" w:cs="Times New Roman"/>
          <w:i/>
        </w:rPr>
        <w:t xml:space="preserve">          </w:t>
      </w:r>
      <w:r w:rsidRPr="00107DF2">
        <w:rPr>
          <w:rFonts w:ascii="Times New Roman" w:eastAsia="Times New Roman" w:hAnsi="Times New Roman" w:cs="Times New Roman"/>
          <w:i/>
          <w:vertAlign w:val="superscript"/>
        </w:rPr>
        <w:t>4</w:t>
      </w:r>
      <w:r w:rsidRPr="00107DF2">
        <w:rPr>
          <w:rFonts w:ascii="Times New Roman" w:eastAsia="Times New Roman" w:hAnsi="Times New Roman" w:cs="Times New Roman"/>
          <w:i/>
        </w:rPr>
        <w:t xml:space="preserve">(2003) 10 SCC 167 </w:t>
      </w:r>
    </w:p>
    <w:p w:rsidR="00107DF2" w:rsidRDefault="00107DF2" w:rsidP="00107DF2">
      <w:pPr>
        <w:spacing w:after="0" w:line="240" w:lineRule="auto"/>
        <w:jc w:val="both"/>
        <w:rPr>
          <w:rFonts w:ascii="Times New Roman" w:eastAsia="Times New Roman" w:hAnsi="Times New Roman" w:cs="Times New Roman"/>
          <w:i/>
        </w:rPr>
      </w:pPr>
      <w:r w:rsidRPr="00107DF2">
        <w:rPr>
          <w:rFonts w:ascii="Times New Roman" w:eastAsia="Times New Roman" w:hAnsi="Times New Roman" w:cs="Times New Roman"/>
          <w:i/>
          <w:vertAlign w:val="superscript"/>
        </w:rPr>
        <w:t>5</w:t>
      </w:r>
      <w:r w:rsidRPr="00107DF2">
        <w:rPr>
          <w:rFonts w:ascii="Times New Roman" w:eastAsia="Times New Roman" w:hAnsi="Times New Roman" w:cs="Times New Roman"/>
          <w:i/>
        </w:rPr>
        <w:t xml:space="preserve">(2003) 4 SCC 481 </w:t>
      </w:r>
      <w:r>
        <w:rPr>
          <w:rFonts w:ascii="Times New Roman" w:eastAsia="Times New Roman" w:hAnsi="Times New Roman" w:cs="Times New Roman"/>
          <w:i/>
        </w:rPr>
        <w:t xml:space="preserve">                  </w:t>
      </w:r>
      <w:r w:rsidRPr="00107DF2">
        <w:rPr>
          <w:rFonts w:ascii="Times New Roman" w:eastAsia="Times New Roman" w:hAnsi="Times New Roman" w:cs="Times New Roman"/>
          <w:i/>
          <w:vertAlign w:val="superscript"/>
        </w:rPr>
        <w:t>6</w:t>
      </w:r>
      <w:r w:rsidRPr="00107DF2">
        <w:rPr>
          <w:rFonts w:ascii="Times New Roman" w:eastAsia="Times New Roman" w:hAnsi="Times New Roman" w:cs="Times New Roman"/>
          <w:i/>
        </w:rPr>
        <w:t xml:space="preserve">(1972) 4 SCC 236 </w:t>
      </w:r>
      <w:r>
        <w:rPr>
          <w:rFonts w:ascii="Times New Roman" w:eastAsia="Times New Roman" w:hAnsi="Times New Roman" w:cs="Times New Roman"/>
          <w:i/>
        </w:rPr>
        <w:t xml:space="preserve">            </w:t>
      </w:r>
      <w:r w:rsidRPr="00107DF2">
        <w:rPr>
          <w:rFonts w:ascii="Times New Roman" w:eastAsia="Times New Roman" w:hAnsi="Times New Roman" w:cs="Times New Roman"/>
          <w:i/>
          <w:vertAlign w:val="superscript"/>
        </w:rPr>
        <w:t>7</w:t>
      </w:r>
      <w:r w:rsidRPr="00107DF2">
        <w:rPr>
          <w:rFonts w:ascii="Times New Roman" w:eastAsia="Times New Roman" w:hAnsi="Times New Roman" w:cs="Times New Roman"/>
          <w:i/>
        </w:rPr>
        <w:t>(1977)1 SCC 684</w:t>
      </w:r>
      <w:r>
        <w:rPr>
          <w:rFonts w:ascii="Times New Roman" w:eastAsia="Times New Roman" w:hAnsi="Times New Roman" w:cs="Times New Roman"/>
          <w:i/>
        </w:rPr>
        <w:t xml:space="preserve">            </w:t>
      </w:r>
      <w:r w:rsidRPr="00107DF2">
        <w:rPr>
          <w:rFonts w:ascii="Times New Roman" w:eastAsia="Times New Roman" w:hAnsi="Times New Roman" w:cs="Times New Roman"/>
          <w:i/>
        </w:rPr>
        <w:t xml:space="preserve"> </w:t>
      </w:r>
      <w:r w:rsidRPr="00107DF2">
        <w:rPr>
          <w:rFonts w:ascii="Times New Roman" w:eastAsia="Times New Roman" w:hAnsi="Times New Roman" w:cs="Times New Roman"/>
          <w:i/>
          <w:vertAlign w:val="superscript"/>
        </w:rPr>
        <w:t>8</w:t>
      </w:r>
      <w:r w:rsidRPr="00107DF2">
        <w:rPr>
          <w:rFonts w:ascii="Times New Roman" w:eastAsia="Times New Roman" w:hAnsi="Times New Roman" w:cs="Times New Roman"/>
          <w:i/>
        </w:rPr>
        <w:t xml:space="preserve">(1984) 2 SCC 324 </w:t>
      </w:r>
    </w:p>
    <w:p w:rsidR="00107DF2" w:rsidRPr="00107DF2" w:rsidRDefault="00107DF2" w:rsidP="00107DF2">
      <w:pPr>
        <w:spacing w:after="0" w:line="240" w:lineRule="auto"/>
        <w:jc w:val="both"/>
        <w:rPr>
          <w:rFonts w:ascii="Times New Roman" w:eastAsia="Times New Roman" w:hAnsi="Times New Roman" w:cs="Times New Roman"/>
          <w:i/>
        </w:rPr>
      </w:pPr>
      <w:r w:rsidRPr="00107DF2">
        <w:rPr>
          <w:rFonts w:ascii="Times New Roman" w:eastAsia="Times New Roman" w:hAnsi="Times New Roman" w:cs="Times New Roman"/>
          <w:i/>
          <w:vertAlign w:val="superscript"/>
        </w:rPr>
        <w:t>9</w:t>
      </w:r>
      <w:r w:rsidRPr="00107DF2">
        <w:rPr>
          <w:rFonts w:ascii="Times New Roman" w:eastAsia="Times New Roman" w:hAnsi="Times New Roman" w:cs="Times New Roman"/>
          <w:i/>
        </w:rPr>
        <w:t xml:space="preserve">(2005) 4 SCC 789 </w:t>
      </w:r>
      <w:r>
        <w:rPr>
          <w:rFonts w:ascii="Times New Roman" w:eastAsia="Times New Roman" w:hAnsi="Times New Roman" w:cs="Times New Roman"/>
          <w:i/>
        </w:rPr>
        <w:t xml:space="preserve">                 </w:t>
      </w:r>
      <w:r w:rsidRPr="00107DF2">
        <w:rPr>
          <w:rFonts w:ascii="Times New Roman" w:eastAsia="Times New Roman" w:hAnsi="Times New Roman" w:cs="Times New Roman"/>
          <w:i/>
          <w:vertAlign w:val="superscript"/>
        </w:rPr>
        <w:t>10</w:t>
      </w:r>
      <w:r w:rsidRPr="00107DF2">
        <w:rPr>
          <w:rFonts w:ascii="Times New Roman" w:eastAsia="Times New Roman" w:hAnsi="Times New Roman" w:cs="Times New Roman"/>
          <w:i/>
        </w:rPr>
        <w:t xml:space="preserve">(1996) 2 SCC 262 </w:t>
      </w:r>
      <w:r>
        <w:rPr>
          <w:rFonts w:ascii="Times New Roman" w:eastAsia="Times New Roman" w:hAnsi="Times New Roman" w:cs="Times New Roman"/>
          <w:i/>
        </w:rPr>
        <w:t xml:space="preserve">           </w:t>
      </w:r>
      <w:r w:rsidRPr="00107DF2">
        <w:rPr>
          <w:rFonts w:ascii="Times New Roman" w:eastAsia="Times New Roman" w:hAnsi="Times New Roman" w:cs="Times New Roman"/>
          <w:i/>
          <w:vertAlign w:val="superscript"/>
        </w:rPr>
        <w:t>11</w:t>
      </w:r>
      <w:r w:rsidRPr="00107DF2">
        <w:rPr>
          <w:rFonts w:ascii="Times New Roman" w:eastAsia="Times New Roman" w:hAnsi="Times New Roman" w:cs="Times New Roman"/>
          <w:i/>
        </w:rPr>
        <w:t>(1996) 9 SCC 640</w:t>
      </w:r>
    </w:p>
    <w:sectPr w:rsidR="00107DF2" w:rsidRPr="00107DF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288" w:rsidRDefault="00160288" w:rsidP="00DA0365">
      <w:pPr>
        <w:spacing w:after="0" w:line="240" w:lineRule="auto"/>
      </w:pPr>
      <w:r>
        <w:separator/>
      </w:r>
    </w:p>
  </w:endnote>
  <w:endnote w:type="continuationSeparator" w:id="0">
    <w:p w:rsidR="00160288" w:rsidRDefault="0016028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07DF2">
      <w:rPr>
        <w:rFonts w:ascii="Times New Roman" w:hAnsi="Times New Roman"/>
        <w:noProof/>
        <w:sz w:val="24"/>
        <w:szCs w:val="24"/>
      </w:rPr>
      <w:t>6</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288" w:rsidRDefault="00160288" w:rsidP="00DA0365">
      <w:pPr>
        <w:spacing w:after="0" w:line="240" w:lineRule="auto"/>
      </w:pPr>
      <w:r>
        <w:separator/>
      </w:r>
    </w:p>
  </w:footnote>
  <w:footnote w:type="continuationSeparator" w:id="0">
    <w:p w:rsidR="00160288" w:rsidRDefault="0016028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07DF2"/>
    <w:rsid w:val="00160288"/>
    <w:rsid w:val="005C7F20"/>
    <w:rsid w:val="008D320C"/>
    <w:rsid w:val="00921282"/>
    <w:rsid w:val="009714D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717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2791</Words>
  <Characters>15913</Characters>
  <Application>Microsoft Office Word</Application>
  <DocSecurity>0</DocSecurity>
  <Lines>132</Lines>
  <Paragraphs>37</Paragraphs>
  <ScaleCrop>false</ScaleCrop>
  <Company/>
  <LinksUpToDate>false</LinksUpToDate>
  <CharactersWithSpaces>18667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2016-03-23T04:58:00Z</dcterms:modified>
</cp:coreProperties>
</file>