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9DE" w:rsidRPr="004C684C" w:rsidRDefault="005879DE" w:rsidP="004C684C">
      <w:pPr>
        <w:spacing w:after="0" w:line="240" w:lineRule="auto"/>
        <w:jc w:val="center"/>
        <w:rPr>
          <w:rFonts w:ascii="Times New Roman" w:eastAsia="Times New Roman" w:hAnsi="Times New Roman" w:cs="Times New Roman"/>
          <w:sz w:val="25"/>
          <w:szCs w:val="25"/>
        </w:rPr>
      </w:pPr>
      <w:bookmarkStart w:id="0" w:name="_GoBack"/>
      <w:bookmarkEnd w:id="0"/>
      <w:r w:rsidRPr="004C684C">
        <w:rPr>
          <w:rFonts w:ascii="Times New Roman" w:eastAsia="Times New Roman" w:hAnsi="Times New Roman" w:cs="Times New Roman"/>
          <w:b/>
          <w:bCs/>
          <w:sz w:val="25"/>
          <w:szCs w:val="25"/>
        </w:rPr>
        <w:t>SUPREME COURT OF INDIA</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State (NCT of Delhi)</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Vs</w:t>
      </w:r>
      <w:r w:rsidR="004C684C">
        <w:rPr>
          <w:rFonts w:ascii="Times New Roman" w:eastAsia="Times New Roman" w:hAnsi="Times New Roman" w:cs="Times New Roman"/>
          <w:sz w:val="25"/>
          <w:szCs w:val="25"/>
        </w:rPr>
        <w:t>.</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Ahmed </w:t>
      </w:r>
      <w:proofErr w:type="spellStart"/>
      <w:r w:rsidRPr="004C684C">
        <w:rPr>
          <w:rFonts w:ascii="Times New Roman" w:eastAsia="Times New Roman" w:hAnsi="Times New Roman" w:cs="Times New Roman"/>
          <w:sz w:val="25"/>
          <w:szCs w:val="25"/>
        </w:rPr>
        <w:t>Jaan</w:t>
      </w:r>
      <w:proofErr w:type="spellEnd"/>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4C684C" w:rsidRDefault="005879DE" w:rsidP="004C684C">
      <w:pPr>
        <w:spacing w:after="0" w:line="240" w:lineRule="auto"/>
        <w:jc w:val="center"/>
        <w:rPr>
          <w:rFonts w:ascii="Times New Roman" w:eastAsia="Times New Roman" w:hAnsi="Times New Roman" w:cs="Times New Roman"/>
          <w:sz w:val="25"/>
          <w:szCs w:val="25"/>
        </w:rPr>
      </w:pPr>
      <w:proofErr w:type="spellStart"/>
      <w:r w:rsidRPr="004C684C">
        <w:rPr>
          <w:rFonts w:ascii="Times New Roman" w:eastAsia="Times New Roman" w:hAnsi="Times New Roman" w:cs="Times New Roman"/>
          <w:sz w:val="25"/>
          <w:szCs w:val="25"/>
        </w:rPr>
        <w:t>Crl</w:t>
      </w:r>
      <w:r w:rsidR="004C684C">
        <w:rPr>
          <w:rFonts w:ascii="Times New Roman" w:eastAsia="Times New Roman" w:hAnsi="Times New Roman" w:cs="Times New Roman"/>
          <w:sz w:val="25"/>
          <w:szCs w:val="25"/>
        </w:rPr>
        <w:t>.</w:t>
      </w:r>
      <w:r w:rsidRPr="004C684C">
        <w:rPr>
          <w:rFonts w:ascii="Times New Roman" w:eastAsia="Times New Roman" w:hAnsi="Times New Roman" w:cs="Times New Roman"/>
          <w:sz w:val="25"/>
          <w:szCs w:val="25"/>
        </w:rPr>
        <w:t>A</w:t>
      </w:r>
      <w:r w:rsidR="004C684C">
        <w:rPr>
          <w:rFonts w:ascii="Times New Roman" w:eastAsia="Times New Roman" w:hAnsi="Times New Roman" w:cs="Times New Roman"/>
          <w:sz w:val="25"/>
          <w:szCs w:val="25"/>
        </w:rPr>
        <w:t>.</w:t>
      </w:r>
      <w:r w:rsidRPr="004C684C">
        <w:rPr>
          <w:rFonts w:ascii="Times New Roman" w:eastAsia="Times New Roman" w:hAnsi="Times New Roman" w:cs="Times New Roman"/>
          <w:sz w:val="25"/>
          <w:szCs w:val="25"/>
        </w:rPr>
        <w:t>No</w:t>
      </w:r>
      <w:proofErr w:type="spellEnd"/>
      <w:r w:rsidR="004C684C">
        <w:rPr>
          <w:rFonts w:ascii="Times New Roman" w:eastAsia="Times New Roman" w:hAnsi="Times New Roman" w:cs="Times New Roman"/>
          <w:sz w:val="25"/>
          <w:szCs w:val="25"/>
        </w:rPr>
        <w:t>…….</w:t>
      </w:r>
      <w:r w:rsidRPr="004C684C">
        <w:rPr>
          <w:rFonts w:ascii="Times New Roman" w:eastAsia="Times New Roman" w:hAnsi="Times New Roman" w:cs="Times New Roman"/>
          <w:sz w:val="25"/>
          <w:szCs w:val="25"/>
        </w:rPr>
        <w:t>of 2008</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center"/>
        <w:rPr>
          <w:rFonts w:ascii="Times New Roman" w:eastAsia="Times New Roman" w:hAnsi="Times New Roman" w:cs="Times New Roman"/>
          <w:sz w:val="25"/>
          <w:szCs w:val="25"/>
        </w:rPr>
      </w:pPr>
      <w:proofErr w:type="gramStart"/>
      <w:r w:rsidRPr="004C684C">
        <w:rPr>
          <w:rFonts w:ascii="Times New Roman" w:eastAsia="Times New Roman" w:hAnsi="Times New Roman" w:cs="Times New Roman"/>
          <w:sz w:val="25"/>
          <w:szCs w:val="25"/>
        </w:rPr>
        <w:t xml:space="preserve">(Dr. </w:t>
      </w:r>
      <w:proofErr w:type="spellStart"/>
      <w:r w:rsidRPr="004C684C">
        <w:rPr>
          <w:rFonts w:ascii="Times New Roman" w:eastAsia="Times New Roman" w:hAnsi="Times New Roman" w:cs="Times New Roman"/>
          <w:sz w:val="25"/>
          <w:szCs w:val="25"/>
        </w:rPr>
        <w:t>Arijit</w:t>
      </w:r>
      <w:proofErr w:type="spellEnd"/>
      <w:r w:rsidRPr="004C684C">
        <w:rPr>
          <w:rFonts w:ascii="Times New Roman" w:eastAsia="Times New Roman" w:hAnsi="Times New Roman" w:cs="Times New Roman"/>
          <w:sz w:val="25"/>
          <w:szCs w:val="25"/>
        </w:rPr>
        <w:t xml:space="preserve"> </w:t>
      </w:r>
      <w:proofErr w:type="spellStart"/>
      <w:r w:rsidRPr="004C684C">
        <w:rPr>
          <w:rFonts w:ascii="Times New Roman" w:eastAsia="Times New Roman" w:hAnsi="Times New Roman" w:cs="Times New Roman"/>
          <w:sz w:val="25"/>
          <w:szCs w:val="25"/>
        </w:rPr>
        <w:t>Pasayat</w:t>
      </w:r>
      <w:proofErr w:type="spellEnd"/>
      <w:r w:rsidRPr="004C684C">
        <w:rPr>
          <w:rFonts w:ascii="Times New Roman" w:eastAsia="Times New Roman" w:hAnsi="Times New Roman" w:cs="Times New Roman"/>
          <w:sz w:val="25"/>
          <w:szCs w:val="25"/>
        </w:rPr>
        <w:t xml:space="preserve"> and Dr. </w:t>
      </w:r>
      <w:proofErr w:type="spellStart"/>
      <w:r w:rsidRPr="004C684C">
        <w:rPr>
          <w:rFonts w:ascii="Times New Roman" w:eastAsia="Times New Roman" w:hAnsi="Times New Roman" w:cs="Times New Roman"/>
          <w:sz w:val="25"/>
          <w:szCs w:val="25"/>
        </w:rPr>
        <w:t>Mukundakam</w:t>
      </w:r>
      <w:proofErr w:type="spellEnd"/>
      <w:r w:rsidRPr="004C684C">
        <w:rPr>
          <w:rFonts w:ascii="Times New Roman" w:eastAsia="Times New Roman" w:hAnsi="Times New Roman" w:cs="Times New Roman"/>
          <w:sz w:val="25"/>
          <w:szCs w:val="25"/>
        </w:rPr>
        <w:t xml:space="preserve"> Sharma</w:t>
      </w:r>
      <w:r w:rsidR="004C684C">
        <w:rPr>
          <w:rFonts w:ascii="Times New Roman" w:eastAsia="Times New Roman" w:hAnsi="Times New Roman" w:cs="Times New Roman"/>
          <w:sz w:val="25"/>
          <w:szCs w:val="25"/>
        </w:rPr>
        <w:t xml:space="preserve"> JJ.</w:t>
      </w:r>
      <w:r w:rsidRPr="004C684C">
        <w:rPr>
          <w:rFonts w:ascii="Times New Roman" w:eastAsia="Times New Roman" w:hAnsi="Times New Roman" w:cs="Times New Roman"/>
          <w:sz w:val="25"/>
          <w:szCs w:val="25"/>
        </w:rPr>
        <w:t>)</w:t>
      </w:r>
      <w:proofErr w:type="gramEnd"/>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12</w:t>
      </w:r>
      <w:r w:rsidR="004C684C">
        <w:rPr>
          <w:rFonts w:ascii="Times New Roman" w:eastAsia="Times New Roman" w:hAnsi="Times New Roman" w:cs="Times New Roman"/>
          <w:sz w:val="25"/>
          <w:szCs w:val="25"/>
        </w:rPr>
        <w:t>.</w:t>
      </w:r>
      <w:r w:rsidRPr="004C684C">
        <w:rPr>
          <w:rFonts w:ascii="Times New Roman" w:eastAsia="Times New Roman" w:hAnsi="Times New Roman" w:cs="Times New Roman"/>
          <w:sz w:val="25"/>
          <w:szCs w:val="25"/>
        </w:rPr>
        <w:t>08</w:t>
      </w:r>
      <w:r w:rsidR="004C684C">
        <w:rPr>
          <w:rFonts w:ascii="Times New Roman" w:eastAsia="Times New Roman" w:hAnsi="Times New Roman" w:cs="Times New Roman"/>
          <w:sz w:val="25"/>
          <w:szCs w:val="25"/>
        </w:rPr>
        <w:t>.</w:t>
      </w:r>
      <w:r w:rsidRPr="004C684C">
        <w:rPr>
          <w:rFonts w:ascii="Times New Roman" w:eastAsia="Times New Roman" w:hAnsi="Times New Roman" w:cs="Times New Roman"/>
          <w:sz w:val="25"/>
          <w:szCs w:val="25"/>
        </w:rPr>
        <w:t>2008</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b/>
          <w:bCs/>
          <w:sz w:val="25"/>
          <w:szCs w:val="25"/>
        </w:rPr>
        <w:t> </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b/>
          <w:bCs/>
          <w:sz w:val="25"/>
          <w:szCs w:val="25"/>
        </w:rPr>
        <w:t>JUDGMENT</w:t>
      </w:r>
    </w:p>
    <w:p w:rsidR="005879DE" w:rsidRPr="004C684C" w:rsidRDefault="005879DE" w:rsidP="004C684C">
      <w:pPr>
        <w:spacing w:after="0" w:line="240" w:lineRule="auto"/>
        <w:jc w:val="center"/>
        <w:rPr>
          <w:rFonts w:ascii="Times New Roman" w:eastAsia="Times New Roman" w:hAnsi="Times New Roman" w:cs="Times New Roman"/>
          <w:sz w:val="25"/>
          <w:szCs w:val="25"/>
        </w:rPr>
      </w:pPr>
      <w:r w:rsidRPr="004C684C">
        <w:rPr>
          <w:rFonts w:ascii="Times New Roman" w:eastAsia="Times New Roman" w:hAnsi="Times New Roman" w:cs="Times New Roman"/>
          <w:b/>
          <w:bCs/>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proofErr w:type="spellStart"/>
      <w:r w:rsidRPr="004C684C">
        <w:rPr>
          <w:rFonts w:ascii="Times New Roman" w:eastAsia="Times New Roman" w:hAnsi="Times New Roman" w:cs="Times New Roman"/>
          <w:b/>
          <w:bCs/>
          <w:sz w:val="25"/>
          <w:szCs w:val="25"/>
        </w:rPr>
        <w:t>Dr.</w:t>
      </w:r>
      <w:r w:rsidR="004C684C" w:rsidRPr="004C684C">
        <w:rPr>
          <w:rFonts w:ascii="Times New Roman" w:eastAsia="Times New Roman" w:hAnsi="Times New Roman" w:cs="Times New Roman"/>
          <w:b/>
          <w:bCs/>
          <w:sz w:val="25"/>
          <w:szCs w:val="25"/>
        </w:rPr>
        <w:t>Arijit</w:t>
      </w:r>
      <w:proofErr w:type="spellEnd"/>
      <w:r w:rsidR="004C684C" w:rsidRPr="004C684C">
        <w:rPr>
          <w:rFonts w:ascii="Times New Roman" w:eastAsia="Times New Roman" w:hAnsi="Times New Roman" w:cs="Times New Roman"/>
          <w:b/>
          <w:bCs/>
          <w:sz w:val="25"/>
          <w:szCs w:val="25"/>
        </w:rPr>
        <w:t xml:space="preserve"> </w:t>
      </w:r>
      <w:proofErr w:type="spellStart"/>
      <w:r w:rsidR="004C684C" w:rsidRPr="004C684C">
        <w:rPr>
          <w:rFonts w:ascii="Times New Roman" w:eastAsia="Times New Roman" w:hAnsi="Times New Roman" w:cs="Times New Roman"/>
          <w:b/>
          <w:bCs/>
          <w:sz w:val="25"/>
          <w:szCs w:val="25"/>
        </w:rPr>
        <w:t>Pasayat</w:t>
      </w:r>
      <w:proofErr w:type="spellEnd"/>
      <w:r w:rsidRPr="004C684C">
        <w:rPr>
          <w:rFonts w:ascii="Times New Roman" w:eastAsia="Times New Roman" w:hAnsi="Times New Roman" w:cs="Times New Roman"/>
          <w:b/>
          <w:bCs/>
          <w:sz w:val="25"/>
          <w:szCs w:val="25"/>
        </w:rPr>
        <w:t>, J</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1. Leave granted.</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2. Challenge in this appeal is to the order passed by a learned Single Judge of the Delhi High Court dismissing the Criminal Revision Petition (Crl.R.P.No.356/2004) on the ground that there was inordinate delay in filing and re-filing the revision petition.</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3. Factual position as highlighted by the appellant is as follows:</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4C684C" w:rsidP="004C684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5879DE" w:rsidRPr="004C684C">
        <w:rPr>
          <w:rFonts w:ascii="Times New Roman" w:eastAsia="Times New Roman" w:hAnsi="Times New Roman" w:cs="Times New Roman"/>
          <w:sz w:val="25"/>
          <w:szCs w:val="25"/>
        </w:rPr>
        <w:t>The respondent, who is a resident of Jammu &amp;, Kashmir, was apprehended at Sheila Cinema in Delhi o 05.03.1997 on the basis of information that he belongs to a terrorist outfit "</w:t>
      </w:r>
      <w:proofErr w:type="spellStart"/>
      <w:r w:rsidR="005879DE" w:rsidRPr="004C684C">
        <w:rPr>
          <w:rFonts w:ascii="Times New Roman" w:eastAsia="Times New Roman" w:hAnsi="Times New Roman" w:cs="Times New Roman"/>
          <w:sz w:val="25"/>
          <w:szCs w:val="25"/>
        </w:rPr>
        <w:t>Tehreek-ul-Mujahideen</w:t>
      </w:r>
      <w:proofErr w:type="spellEnd"/>
      <w:r w:rsidR="005879DE" w:rsidRPr="004C684C">
        <w:rPr>
          <w:rFonts w:ascii="Times New Roman" w:eastAsia="Times New Roman" w:hAnsi="Times New Roman" w:cs="Times New Roman"/>
          <w:sz w:val="25"/>
          <w:szCs w:val="25"/>
        </w:rPr>
        <w:t xml:space="preserve">' (TUM) of J&amp;K. From a search of his person and his hotel room, a letter containing instructions regarding activities to be carried out in Delhi for collecting money and arms for freedom of Kashmir was recovered. The letter contained coded information regarding RDX and Grenades as "AT'TA' and 'ANAR' and was allegedly written by one Abu Ibrahim. A personal diary containing telephone numbers of Pakistan and a sum of Rs.30, 000/- suspected to be </w:t>
      </w:r>
      <w:proofErr w:type="spellStart"/>
      <w:r w:rsidR="005879DE" w:rsidRPr="004C684C">
        <w:rPr>
          <w:rFonts w:ascii="Times New Roman" w:eastAsia="Times New Roman" w:hAnsi="Times New Roman" w:cs="Times New Roman"/>
          <w:sz w:val="25"/>
          <w:szCs w:val="25"/>
        </w:rPr>
        <w:t>Hawala</w:t>
      </w:r>
      <w:proofErr w:type="spellEnd"/>
      <w:r w:rsidR="005879DE" w:rsidRPr="004C684C">
        <w:rPr>
          <w:rFonts w:ascii="Times New Roman" w:eastAsia="Times New Roman" w:hAnsi="Times New Roman" w:cs="Times New Roman"/>
          <w:sz w:val="25"/>
          <w:szCs w:val="25"/>
        </w:rPr>
        <w:t xml:space="preserve"> money were also recovered from the respondent. It was found that the respondent had been frequently coming to Delhi and stayed at Welcome Guest House and used to make telephone calls to his contacts in Pakistan and collected money in Delhi which he used to transfer to Srinagar through carpet dealers at Kashmir and Commission agents for goats and thus, he actually got transferred Rs.17-1/4 </w:t>
      </w:r>
      <w:proofErr w:type="spellStart"/>
      <w:r w:rsidR="005879DE" w:rsidRPr="004C684C">
        <w:rPr>
          <w:rFonts w:ascii="Times New Roman" w:eastAsia="Times New Roman" w:hAnsi="Times New Roman" w:cs="Times New Roman"/>
          <w:sz w:val="25"/>
          <w:szCs w:val="25"/>
        </w:rPr>
        <w:t>lacs</w:t>
      </w:r>
      <w:proofErr w:type="spellEnd"/>
      <w:r w:rsidR="005879DE" w:rsidRPr="004C684C">
        <w:rPr>
          <w:rFonts w:ascii="Times New Roman" w:eastAsia="Times New Roman" w:hAnsi="Times New Roman" w:cs="Times New Roman"/>
          <w:sz w:val="25"/>
          <w:szCs w:val="25"/>
        </w:rPr>
        <w:t xml:space="preserve"> through </w:t>
      </w:r>
      <w:proofErr w:type="spellStart"/>
      <w:r w:rsidR="005879DE" w:rsidRPr="004C684C">
        <w:rPr>
          <w:rFonts w:ascii="Times New Roman" w:eastAsia="Times New Roman" w:hAnsi="Times New Roman" w:cs="Times New Roman"/>
          <w:sz w:val="25"/>
          <w:szCs w:val="25"/>
        </w:rPr>
        <w:t>Ghayasuddin</w:t>
      </w:r>
      <w:proofErr w:type="spellEnd"/>
      <w:r w:rsidR="005879DE" w:rsidRPr="004C684C">
        <w:rPr>
          <w:rFonts w:ascii="Times New Roman" w:eastAsia="Times New Roman" w:hAnsi="Times New Roman" w:cs="Times New Roman"/>
          <w:sz w:val="25"/>
          <w:szCs w:val="25"/>
        </w:rPr>
        <w:t xml:space="preserve"> and </w:t>
      </w:r>
      <w:proofErr w:type="spellStart"/>
      <w:r w:rsidR="005879DE" w:rsidRPr="004C684C">
        <w:rPr>
          <w:rFonts w:ascii="Times New Roman" w:eastAsia="Times New Roman" w:hAnsi="Times New Roman" w:cs="Times New Roman"/>
          <w:sz w:val="25"/>
          <w:szCs w:val="25"/>
        </w:rPr>
        <w:t>Mohd</w:t>
      </w:r>
      <w:proofErr w:type="spellEnd"/>
      <w:r w:rsidR="005879DE" w:rsidRPr="004C684C">
        <w:rPr>
          <w:rFonts w:ascii="Times New Roman" w:eastAsia="Times New Roman" w:hAnsi="Times New Roman" w:cs="Times New Roman"/>
          <w:sz w:val="25"/>
          <w:szCs w:val="25"/>
        </w:rPr>
        <w:t xml:space="preserve">. </w:t>
      </w:r>
      <w:proofErr w:type="spellStart"/>
      <w:proofErr w:type="gramStart"/>
      <w:r w:rsidR="005879DE" w:rsidRPr="004C684C">
        <w:rPr>
          <w:rFonts w:ascii="Times New Roman" w:eastAsia="Times New Roman" w:hAnsi="Times New Roman" w:cs="Times New Roman"/>
          <w:sz w:val="25"/>
          <w:szCs w:val="25"/>
        </w:rPr>
        <w:t>Ahad</w:t>
      </w:r>
      <w:proofErr w:type="spellEnd"/>
      <w:r w:rsidR="005879DE" w:rsidRPr="004C684C">
        <w:rPr>
          <w:rFonts w:ascii="Times New Roman" w:eastAsia="Times New Roman" w:hAnsi="Times New Roman" w:cs="Times New Roman"/>
          <w:sz w:val="25"/>
          <w:szCs w:val="25"/>
        </w:rPr>
        <w:t xml:space="preserve"> of Srinagar.</w:t>
      </w:r>
      <w:proofErr w:type="gramEnd"/>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The respondent was charge sheeted under Sections 121/121A/122/124-A/120-B of Indian Penal Code, 1860 (in short `IPC') on the above allegations of being a member of TUM and for conspiring in waging war against the Government of India. The </w:t>
      </w:r>
      <w:r w:rsidRPr="004C684C">
        <w:rPr>
          <w:rFonts w:ascii="Times New Roman" w:eastAsia="Times New Roman" w:hAnsi="Times New Roman" w:cs="Times New Roman"/>
          <w:sz w:val="25"/>
          <w:szCs w:val="25"/>
        </w:rPr>
        <w:lastRenderedPageBreak/>
        <w:t>respondent was thereafter tried in the Court of the Addl. Sessions Judge, Delhi in Sessions Case No.7/98.</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By order dated 30.10.1998 in Sessions Case No.7/98, the learned Addl. Sessions Judge discharged the accused at the threshold, holding that prima facie there was no legal evidence to show that the respondent has committed any of the alleged acts.</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Aggrieved, the appellant filed Criminal Revision Petition 356/2004, along with an application for condoning the delay in filing the petition. After filing the revision petition, the Registry of the High Court raised certain objections, and the file was received back in the Department for curing the defects. Unfortunately, due to paucity of space, the file got mixed up with other files in the office of the Standing Counsel, and was traced only in June, 2003. The revision petition was thereafter re-filed along with an application for </w:t>
      </w:r>
      <w:proofErr w:type="spellStart"/>
      <w:r w:rsidRPr="004C684C">
        <w:rPr>
          <w:rFonts w:ascii="Times New Roman" w:eastAsia="Times New Roman" w:hAnsi="Times New Roman" w:cs="Times New Roman"/>
          <w:sz w:val="25"/>
          <w:szCs w:val="25"/>
        </w:rPr>
        <w:t>condonation</w:t>
      </w:r>
      <w:proofErr w:type="spellEnd"/>
      <w:r w:rsidRPr="004C684C">
        <w:rPr>
          <w:rFonts w:ascii="Times New Roman" w:eastAsia="Times New Roman" w:hAnsi="Times New Roman" w:cs="Times New Roman"/>
          <w:sz w:val="25"/>
          <w:szCs w:val="25"/>
        </w:rPr>
        <w:t xml:space="preserve"> of delay in re-filing.</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ind w:left="720"/>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The High Court dismissed </w:t>
      </w:r>
      <w:proofErr w:type="spellStart"/>
      <w:r w:rsidRPr="004C684C">
        <w:rPr>
          <w:rFonts w:ascii="Times New Roman" w:eastAsia="Times New Roman" w:hAnsi="Times New Roman" w:cs="Times New Roman"/>
          <w:sz w:val="25"/>
          <w:szCs w:val="25"/>
        </w:rPr>
        <w:t>Crl</w:t>
      </w:r>
      <w:proofErr w:type="spellEnd"/>
      <w:r w:rsidRPr="004C684C">
        <w:rPr>
          <w:rFonts w:ascii="Times New Roman" w:eastAsia="Times New Roman" w:hAnsi="Times New Roman" w:cs="Times New Roman"/>
          <w:sz w:val="25"/>
          <w:szCs w:val="25"/>
        </w:rPr>
        <w:t xml:space="preserve">. Rev. Petition No.356/2004 and </w:t>
      </w:r>
      <w:proofErr w:type="spellStart"/>
      <w:r w:rsidRPr="004C684C">
        <w:rPr>
          <w:rFonts w:ascii="Times New Roman" w:eastAsia="Times New Roman" w:hAnsi="Times New Roman" w:cs="Times New Roman"/>
          <w:sz w:val="25"/>
          <w:szCs w:val="25"/>
        </w:rPr>
        <w:t>Crl</w:t>
      </w:r>
      <w:proofErr w:type="spellEnd"/>
      <w:r w:rsidRPr="004C684C">
        <w:rPr>
          <w:rFonts w:ascii="Times New Roman" w:eastAsia="Times New Roman" w:hAnsi="Times New Roman" w:cs="Times New Roman"/>
          <w:sz w:val="25"/>
          <w:szCs w:val="25"/>
        </w:rPr>
        <w:t>. M.A. No. 5227/2004 by judgment dated 10.8.2005, being of the view that there was unexplained delay in filing and re-filing the revision petition.</w:t>
      </w:r>
      <w:r w:rsidR="004C684C">
        <w:rPr>
          <w:rFonts w:ascii="Times New Roman" w:eastAsia="Times New Roman" w:hAnsi="Times New Roman" w:cs="Times New Roman"/>
          <w:sz w:val="25"/>
          <w:szCs w:val="25"/>
        </w:rPr>
        <w:t>”</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4.  It is submitted by learned counsel for the appellant that the High Court did not even deal with the explanations given by the appellant in explaining the delay. The summary rejection by the High Court holding that delay   has not been properly explained was not correct. It is pointed out that the conclusions of learned trial Judge directing discharge are unsustainable both on facts and in law.</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5. Learned counsel for the respondent on the other hand submitted that merely because the allegations were serious in nature, the order impugned before the High Court does not require interference as it is </w:t>
      </w:r>
      <w:proofErr w:type="spellStart"/>
      <w:r w:rsidRPr="004C684C">
        <w:rPr>
          <w:rFonts w:ascii="Times New Roman" w:eastAsia="Times New Roman" w:hAnsi="Times New Roman" w:cs="Times New Roman"/>
          <w:sz w:val="25"/>
          <w:szCs w:val="25"/>
        </w:rPr>
        <w:t>blemishless</w:t>
      </w:r>
      <w:proofErr w:type="spellEnd"/>
      <w:r w:rsidRPr="004C684C">
        <w:rPr>
          <w:rFonts w:ascii="Times New Roman" w:eastAsia="Times New Roman" w:hAnsi="Times New Roman" w:cs="Times New Roman"/>
          <w:sz w:val="25"/>
          <w:szCs w:val="25"/>
        </w:rPr>
        <w:t>. Learned trial Judge rightly noted that there was no evidence of criminal conspiracy against him and therefore his discharge was rightly directed.</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6. At this juncture, it is stated, at this length of time it would not be proper to set aside the order of High Court.</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7. The proof by sufficient cause is a condition precedent for exercise of the extraordinary discretion vested in the court. What counts is not the length of the delay but the sufficiency of the cause and shortness of the delay is one of the circumstances to be taken into account in using the discretion. In N. </w:t>
      </w:r>
      <w:proofErr w:type="spellStart"/>
      <w:r w:rsidRPr="004C684C">
        <w:rPr>
          <w:rFonts w:ascii="Times New Roman" w:eastAsia="Times New Roman" w:hAnsi="Times New Roman" w:cs="Times New Roman"/>
          <w:sz w:val="25"/>
          <w:szCs w:val="25"/>
        </w:rPr>
        <w:t>Balakrishnan</w:t>
      </w:r>
      <w:proofErr w:type="spellEnd"/>
      <w:r w:rsidRPr="004C684C">
        <w:rPr>
          <w:rFonts w:ascii="Times New Roman" w:eastAsia="Times New Roman" w:hAnsi="Times New Roman" w:cs="Times New Roman"/>
          <w:sz w:val="25"/>
          <w:szCs w:val="25"/>
        </w:rPr>
        <w:t xml:space="preserve"> v. M. Krishnamurthy (AIR 1998 SC 3222) it was held by this Court that Section 5 is to be construed liberally so as to do substantial justice to the parties. The provision contemplates that the Court has to go in the position of the person concerned and to find out if the delay can be said to have been resulted from the cause which he had adduced and whether the cause can be recorded in the peculiar circumstances of the case is sufficient. Although no special indulgence can be shown to the Government which, in similar circumstances, is not shown to an individual suitor, one cannot but take a practical view of the working of the Government without being unduly indulgent to the slow motion of its wheels.</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lastRenderedPageBreak/>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8. What constitutes sufficient cause cannot be laid down by hard and fast rules. In </w:t>
      </w:r>
      <w:r w:rsidRPr="004C684C">
        <w:rPr>
          <w:rFonts w:ascii="Times New Roman" w:eastAsia="Times New Roman" w:hAnsi="Times New Roman" w:cs="Times New Roman"/>
          <w:i/>
          <w:sz w:val="25"/>
          <w:szCs w:val="25"/>
        </w:rPr>
        <w:t>New India Insurance Co. Ltd. v. Shanti Misra</w:t>
      </w:r>
      <w:r w:rsidR="004C684C" w:rsidRPr="004C684C">
        <w:rPr>
          <w:rFonts w:ascii="Times New Roman" w:eastAsia="Times New Roman" w:hAnsi="Times New Roman" w:cs="Times New Roman"/>
          <w:i/>
          <w:sz w:val="25"/>
          <w:szCs w:val="25"/>
          <w:vertAlign w:val="superscript"/>
        </w:rPr>
        <w:t>1</w:t>
      </w:r>
      <w:r w:rsidRPr="004C684C">
        <w:rPr>
          <w:rFonts w:ascii="Times New Roman" w:eastAsia="Times New Roman" w:hAnsi="Times New Roman" w:cs="Times New Roman"/>
          <w:sz w:val="25"/>
          <w:szCs w:val="25"/>
        </w:rPr>
        <w:t xml:space="preserve"> this Court held that discretion given by Section 5 should not be defined or </w:t>
      </w:r>
      <w:proofErr w:type="spellStart"/>
      <w:r w:rsidRPr="004C684C">
        <w:rPr>
          <w:rFonts w:ascii="Times New Roman" w:eastAsia="Times New Roman" w:hAnsi="Times New Roman" w:cs="Times New Roman"/>
          <w:sz w:val="25"/>
          <w:szCs w:val="25"/>
        </w:rPr>
        <w:t>crystallised</w:t>
      </w:r>
      <w:proofErr w:type="spellEnd"/>
      <w:r w:rsidRPr="004C684C">
        <w:rPr>
          <w:rFonts w:ascii="Times New Roman" w:eastAsia="Times New Roman" w:hAnsi="Times New Roman" w:cs="Times New Roman"/>
          <w:sz w:val="25"/>
          <w:szCs w:val="25"/>
        </w:rPr>
        <w:t xml:space="preserve"> so as to convert a discretionary matter into a rigid rule of law. The expression "sufficient cause" should receive a liberal construction. In </w:t>
      </w:r>
      <w:proofErr w:type="spellStart"/>
      <w:r w:rsidRPr="004C684C">
        <w:rPr>
          <w:rFonts w:ascii="Times New Roman" w:eastAsia="Times New Roman" w:hAnsi="Times New Roman" w:cs="Times New Roman"/>
          <w:i/>
          <w:sz w:val="25"/>
          <w:szCs w:val="25"/>
        </w:rPr>
        <w:t>Brij</w:t>
      </w:r>
      <w:proofErr w:type="spellEnd"/>
      <w:r w:rsidRPr="004C684C">
        <w:rPr>
          <w:rFonts w:ascii="Times New Roman" w:eastAsia="Times New Roman" w:hAnsi="Times New Roman" w:cs="Times New Roman"/>
          <w:i/>
          <w:sz w:val="25"/>
          <w:szCs w:val="25"/>
        </w:rPr>
        <w:t xml:space="preserve"> </w:t>
      </w:r>
      <w:proofErr w:type="spellStart"/>
      <w:r w:rsidRPr="004C684C">
        <w:rPr>
          <w:rFonts w:ascii="Times New Roman" w:eastAsia="Times New Roman" w:hAnsi="Times New Roman" w:cs="Times New Roman"/>
          <w:i/>
          <w:sz w:val="25"/>
          <w:szCs w:val="25"/>
        </w:rPr>
        <w:t>Indar</w:t>
      </w:r>
      <w:proofErr w:type="spellEnd"/>
      <w:r w:rsidRPr="004C684C">
        <w:rPr>
          <w:rFonts w:ascii="Times New Roman" w:eastAsia="Times New Roman" w:hAnsi="Times New Roman" w:cs="Times New Roman"/>
          <w:i/>
          <w:sz w:val="25"/>
          <w:szCs w:val="25"/>
        </w:rPr>
        <w:t xml:space="preserve"> Singh v. </w:t>
      </w:r>
      <w:proofErr w:type="spellStart"/>
      <w:r w:rsidRPr="004C684C">
        <w:rPr>
          <w:rFonts w:ascii="Times New Roman" w:eastAsia="Times New Roman" w:hAnsi="Times New Roman" w:cs="Times New Roman"/>
          <w:i/>
          <w:sz w:val="25"/>
          <w:szCs w:val="25"/>
        </w:rPr>
        <w:t>Kanshi</w:t>
      </w:r>
      <w:proofErr w:type="spellEnd"/>
      <w:r w:rsidRPr="004C684C">
        <w:rPr>
          <w:rFonts w:ascii="Times New Roman" w:eastAsia="Times New Roman" w:hAnsi="Times New Roman" w:cs="Times New Roman"/>
          <w:i/>
          <w:sz w:val="25"/>
          <w:szCs w:val="25"/>
        </w:rPr>
        <w:t xml:space="preserve"> Ram</w:t>
      </w:r>
      <w:r w:rsidR="004C684C" w:rsidRPr="004C684C">
        <w:rPr>
          <w:rFonts w:ascii="Times New Roman" w:eastAsia="Times New Roman" w:hAnsi="Times New Roman" w:cs="Times New Roman"/>
          <w:i/>
          <w:sz w:val="25"/>
          <w:szCs w:val="25"/>
          <w:vertAlign w:val="superscript"/>
        </w:rPr>
        <w:t>2</w:t>
      </w:r>
      <w:r w:rsidRPr="004C684C">
        <w:rPr>
          <w:rFonts w:ascii="Times New Roman" w:eastAsia="Times New Roman" w:hAnsi="Times New Roman" w:cs="Times New Roman"/>
          <w:sz w:val="25"/>
          <w:szCs w:val="25"/>
        </w:rPr>
        <w:t xml:space="preserve"> it was observed that true guide for a court to exercise the discretion under Section 5 is whether the appellant acted with reasonable diligence in prosecuting the appeal. In </w:t>
      </w:r>
      <w:proofErr w:type="spellStart"/>
      <w:r w:rsidRPr="004C684C">
        <w:rPr>
          <w:rFonts w:ascii="Times New Roman" w:eastAsia="Times New Roman" w:hAnsi="Times New Roman" w:cs="Times New Roman"/>
          <w:i/>
          <w:sz w:val="25"/>
          <w:szCs w:val="25"/>
        </w:rPr>
        <w:t>Shakuntala</w:t>
      </w:r>
      <w:proofErr w:type="spellEnd"/>
      <w:r w:rsidRPr="004C684C">
        <w:rPr>
          <w:rFonts w:ascii="Times New Roman" w:eastAsia="Times New Roman" w:hAnsi="Times New Roman" w:cs="Times New Roman"/>
          <w:i/>
          <w:sz w:val="25"/>
          <w:szCs w:val="25"/>
        </w:rPr>
        <w:t xml:space="preserve"> Devi Jain v. </w:t>
      </w:r>
      <w:proofErr w:type="spellStart"/>
      <w:r w:rsidRPr="004C684C">
        <w:rPr>
          <w:rFonts w:ascii="Times New Roman" w:eastAsia="Times New Roman" w:hAnsi="Times New Roman" w:cs="Times New Roman"/>
          <w:i/>
          <w:sz w:val="25"/>
          <w:szCs w:val="25"/>
        </w:rPr>
        <w:t>Kuntal</w:t>
      </w:r>
      <w:proofErr w:type="spellEnd"/>
      <w:r w:rsidRPr="004C684C">
        <w:rPr>
          <w:rFonts w:ascii="Times New Roman" w:eastAsia="Times New Roman" w:hAnsi="Times New Roman" w:cs="Times New Roman"/>
          <w:i/>
          <w:sz w:val="25"/>
          <w:szCs w:val="25"/>
        </w:rPr>
        <w:t xml:space="preserve"> Kumari</w:t>
      </w:r>
      <w:r w:rsidR="004C684C" w:rsidRPr="004C684C">
        <w:rPr>
          <w:rFonts w:ascii="Times New Roman" w:eastAsia="Times New Roman" w:hAnsi="Times New Roman" w:cs="Times New Roman"/>
          <w:i/>
          <w:sz w:val="25"/>
          <w:szCs w:val="25"/>
          <w:vertAlign w:val="superscript"/>
        </w:rPr>
        <w:t>3</w:t>
      </w:r>
      <w:r w:rsidRPr="004C684C">
        <w:rPr>
          <w:rFonts w:ascii="Times New Roman" w:eastAsia="Times New Roman" w:hAnsi="Times New Roman" w:cs="Times New Roman"/>
          <w:sz w:val="25"/>
          <w:szCs w:val="25"/>
        </w:rPr>
        <w:t xml:space="preserve"> a Bench of three Judges had held that unless want of bona fides of such inaction or negligence as would deprive a party of the protection of Section 5 is proved, the application must not be thrown out or any delay cannot be refused to be condoned.</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9.  In Concord of </w:t>
      </w:r>
      <w:r w:rsidRPr="004C684C">
        <w:rPr>
          <w:rFonts w:ascii="Times New Roman" w:eastAsia="Times New Roman" w:hAnsi="Times New Roman" w:cs="Times New Roman"/>
          <w:i/>
          <w:sz w:val="25"/>
          <w:szCs w:val="25"/>
        </w:rPr>
        <w:t xml:space="preserve">India Insurance Co. Ltd. v. </w:t>
      </w:r>
      <w:proofErr w:type="spellStart"/>
      <w:r w:rsidRPr="004C684C">
        <w:rPr>
          <w:rFonts w:ascii="Times New Roman" w:eastAsia="Times New Roman" w:hAnsi="Times New Roman" w:cs="Times New Roman"/>
          <w:i/>
          <w:sz w:val="25"/>
          <w:szCs w:val="25"/>
        </w:rPr>
        <w:t>Nirmala</w:t>
      </w:r>
      <w:proofErr w:type="spellEnd"/>
      <w:r w:rsidRPr="004C684C">
        <w:rPr>
          <w:rFonts w:ascii="Times New Roman" w:eastAsia="Times New Roman" w:hAnsi="Times New Roman" w:cs="Times New Roman"/>
          <w:i/>
          <w:sz w:val="25"/>
          <w:szCs w:val="25"/>
        </w:rPr>
        <w:t xml:space="preserve"> Devi</w:t>
      </w:r>
      <w:r w:rsidR="004C684C" w:rsidRPr="004C684C">
        <w:rPr>
          <w:rFonts w:ascii="Times New Roman" w:eastAsia="Times New Roman" w:hAnsi="Times New Roman" w:cs="Times New Roman"/>
          <w:i/>
          <w:sz w:val="25"/>
          <w:szCs w:val="25"/>
          <w:vertAlign w:val="superscript"/>
        </w:rPr>
        <w:t>4</w:t>
      </w:r>
      <w:r w:rsidRPr="004C684C">
        <w:rPr>
          <w:rFonts w:ascii="Times New Roman" w:eastAsia="Times New Roman" w:hAnsi="Times New Roman" w:cs="Times New Roman"/>
          <w:sz w:val="25"/>
          <w:szCs w:val="25"/>
        </w:rPr>
        <w:t xml:space="preserve"> which is a case of negligence of the counsel which misled a litigant into delayed pursuit of his remedy, the default in delay was condoned. In </w:t>
      </w:r>
      <w:proofErr w:type="spellStart"/>
      <w:r w:rsidRPr="004C684C">
        <w:rPr>
          <w:rFonts w:ascii="Times New Roman" w:eastAsia="Times New Roman" w:hAnsi="Times New Roman" w:cs="Times New Roman"/>
          <w:i/>
          <w:sz w:val="25"/>
          <w:szCs w:val="25"/>
        </w:rPr>
        <w:t>Lala</w:t>
      </w:r>
      <w:proofErr w:type="spellEnd"/>
      <w:r w:rsidRPr="004C684C">
        <w:rPr>
          <w:rFonts w:ascii="Times New Roman" w:eastAsia="Times New Roman" w:hAnsi="Times New Roman" w:cs="Times New Roman"/>
          <w:i/>
          <w:sz w:val="25"/>
          <w:szCs w:val="25"/>
        </w:rPr>
        <w:t xml:space="preserve"> Mata Din v. A. Narayanan</w:t>
      </w:r>
      <w:r w:rsidR="004C684C" w:rsidRPr="004C684C">
        <w:rPr>
          <w:rFonts w:ascii="Times New Roman" w:eastAsia="Times New Roman" w:hAnsi="Times New Roman" w:cs="Times New Roman"/>
          <w:i/>
          <w:sz w:val="25"/>
          <w:szCs w:val="25"/>
          <w:vertAlign w:val="superscript"/>
        </w:rPr>
        <w:t>5</w:t>
      </w:r>
      <w:r w:rsidRPr="004C684C">
        <w:rPr>
          <w:rFonts w:ascii="Times New Roman" w:eastAsia="Times New Roman" w:hAnsi="Times New Roman" w:cs="Times New Roman"/>
          <w:sz w:val="25"/>
          <w:szCs w:val="25"/>
        </w:rPr>
        <w:t xml:space="preserve">, this Court had held that there is no general proposition that mistake of counsel by itself is always sufficient cause for </w:t>
      </w:r>
      <w:proofErr w:type="spellStart"/>
      <w:r w:rsidRPr="004C684C">
        <w:rPr>
          <w:rFonts w:ascii="Times New Roman" w:eastAsia="Times New Roman" w:hAnsi="Times New Roman" w:cs="Times New Roman"/>
          <w:sz w:val="25"/>
          <w:szCs w:val="25"/>
        </w:rPr>
        <w:t>condonation</w:t>
      </w:r>
      <w:proofErr w:type="spellEnd"/>
      <w:r w:rsidRPr="004C684C">
        <w:rPr>
          <w:rFonts w:ascii="Times New Roman" w:eastAsia="Times New Roman" w:hAnsi="Times New Roman" w:cs="Times New Roman"/>
          <w:sz w:val="25"/>
          <w:szCs w:val="25"/>
        </w:rPr>
        <w:t xml:space="preserve"> of delay. It is always a question whether the mistake was bona fide or was merely a device to cover an ulterior purpose. In that case it was held that the mistake committed by the counsel was bona fide and it was not tainted by any mala fide motive.</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10. In </w:t>
      </w:r>
      <w:r w:rsidRPr="004C684C">
        <w:rPr>
          <w:rFonts w:ascii="Times New Roman" w:eastAsia="Times New Roman" w:hAnsi="Times New Roman" w:cs="Times New Roman"/>
          <w:i/>
          <w:sz w:val="25"/>
          <w:szCs w:val="25"/>
        </w:rPr>
        <w:t>State of Kerala v. E. K. Kuriyipe</w:t>
      </w:r>
      <w:r w:rsidR="004C684C" w:rsidRPr="004C684C">
        <w:rPr>
          <w:rFonts w:ascii="Times New Roman" w:eastAsia="Times New Roman" w:hAnsi="Times New Roman" w:cs="Times New Roman"/>
          <w:i/>
          <w:sz w:val="25"/>
          <w:szCs w:val="25"/>
          <w:vertAlign w:val="superscript"/>
        </w:rPr>
        <w:t>6</w:t>
      </w:r>
      <w:r w:rsidRPr="004C684C">
        <w:rPr>
          <w:rFonts w:ascii="Times New Roman" w:eastAsia="Times New Roman" w:hAnsi="Times New Roman" w:cs="Times New Roman"/>
          <w:sz w:val="25"/>
          <w:szCs w:val="25"/>
        </w:rPr>
        <w:t xml:space="preserve">, it was held that whether or not there is sufficient cause for </w:t>
      </w:r>
      <w:proofErr w:type="spellStart"/>
      <w:r w:rsidRPr="004C684C">
        <w:rPr>
          <w:rFonts w:ascii="Times New Roman" w:eastAsia="Times New Roman" w:hAnsi="Times New Roman" w:cs="Times New Roman"/>
          <w:sz w:val="25"/>
          <w:szCs w:val="25"/>
        </w:rPr>
        <w:t>condonation</w:t>
      </w:r>
      <w:proofErr w:type="spellEnd"/>
      <w:r w:rsidRPr="004C684C">
        <w:rPr>
          <w:rFonts w:ascii="Times New Roman" w:eastAsia="Times New Roman" w:hAnsi="Times New Roman" w:cs="Times New Roman"/>
          <w:sz w:val="25"/>
          <w:szCs w:val="25"/>
        </w:rPr>
        <w:t xml:space="preserve"> of delay is a question of fact </w:t>
      </w:r>
      <w:proofErr w:type="spellStart"/>
      <w:r w:rsidRPr="004C684C">
        <w:rPr>
          <w:rFonts w:ascii="Times New Roman" w:eastAsia="Times New Roman" w:hAnsi="Times New Roman" w:cs="Times New Roman"/>
          <w:sz w:val="25"/>
          <w:szCs w:val="25"/>
        </w:rPr>
        <w:t>dependant</w:t>
      </w:r>
      <w:proofErr w:type="spellEnd"/>
      <w:r w:rsidRPr="004C684C">
        <w:rPr>
          <w:rFonts w:ascii="Times New Roman" w:eastAsia="Times New Roman" w:hAnsi="Times New Roman" w:cs="Times New Roman"/>
          <w:sz w:val="25"/>
          <w:szCs w:val="25"/>
        </w:rPr>
        <w:t xml:space="preserve"> upon the facts and circumstances of the particular case. In </w:t>
      </w:r>
      <w:proofErr w:type="spellStart"/>
      <w:r w:rsidRPr="004C684C">
        <w:rPr>
          <w:rFonts w:ascii="Times New Roman" w:eastAsia="Times New Roman" w:hAnsi="Times New Roman" w:cs="Times New Roman"/>
          <w:i/>
          <w:sz w:val="25"/>
          <w:szCs w:val="25"/>
        </w:rPr>
        <w:t>Milavi</w:t>
      </w:r>
      <w:proofErr w:type="spellEnd"/>
      <w:r w:rsidRPr="004C684C">
        <w:rPr>
          <w:rFonts w:ascii="Times New Roman" w:eastAsia="Times New Roman" w:hAnsi="Times New Roman" w:cs="Times New Roman"/>
          <w:i/>
          <w:sz w:val="25"/>
          <w:szCs w:val="25"/>
        </w:rPr>
        <w:t xml:space="preserve"> Devi v. Dina Nath</w:t>
      </w:r>
      <w:r w:rsidR="004C684C" w:rsidRPr="004C684C">
        <w:rPr>
          <w:rFonts w:ascii="Times New Roman" w:eastAsia="Times New Roman" w:hAnsi="Times New Roman" w:cs="Times New Roman"/>
          <w:i/>
          <w:sz w:val="25"/>
          <w:szCs w:val="25"/>
          <w:vertAlign w:val="superscript"/>
        </w:rPr>
        <w:t>7</w:t>
      </w:r>
      <w:r w:rsidRPr="004C684C">
        <w:rPr>
          <w:rFonts w:ascii="Times New Roman" w:eastAsia="Times New Roman" w:hAnsi="Times New Roman" w:cs="Times New Roman"/>
          <w:sz w:val="25"/>
          <w:szCs w:val="25"/>
        </w:rPr>
        <w:t>, it was held that the appellant had sufficient cause for not filing the appeal within the period of limitation. This Court under Article 136 can reassess the ground and in appropriate case set aside the order made by the High Court or the Tribunal and remit the matter for hearing on merits. It was accordingly allowed, delay was condoned and the case was remitted for decision on merits.</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11. In </w:t>
      </w:r>
      <w:r w:rsidRPr="004C684C">
        <w:rPr>
          <w:rFonts w:ascii="Times New Roman" w:eastAsia="Times New Roman" w:hAnsi="Times New Roman" w:cs="Times New Roman"/>
          <w:i/>
          <w:sz w:val="25"/>
          <w:szCs w:val="25"/>
        </w:rPr>
        <w:t xml:space="preserve">O. P. </w:t>
      </w:r>
      <w:proofErr w:type="spellStart"/>
      <w:r w:rsidRPr="004C684C">
        <w:rPr>
          <w:rFonts w:ascii="Times New Roman" w:eastAsia="Times New Roman" w:hAnsi="Times New Roman" w:cs="Times New Roman"/>
          <w:i/>
          <w:sz w:val="25"/>
          <w:szCs w:val="25"/>
        </w:rPr>
        <w:t>Kathpalia</w:t>
      </w:r>
      <w:proofErr w:type="spellEnd"/>
      <w:r w:rsidRPr="004C684C">
        <w:rPr>
          <w:rFonts w:ascii="Times New Roman" w:eastAsia="Times New Roman" w:hAnsi="Times New Roman" w:cs="Times New Roman"/>
          <w:i/>
          <w:sz w:val="25"/>
          <w:szCs w:val="25"/>
        </w:rPr>
        <w:t xml:space="preserve"> v. </w:t>
      </w:r>
      <w:proofErr w:type="spellStart"/>
      <w:r w:rsidRPr="004C684C">
        <w:rPr>
          <w:rFonts w:ascii="Times New Roman" w:eastAsia="Times New Roman" w:hAnsi="Times New Roman" w:cs="Times New Roman"/>
          <w:i/>
          <w:sz w:val="25"/>
          <w:szCs w:val="25"/>
        </w:rPr>
        <w:t>Lakhmir</w:t>
      </w:r>
      <w:proofErr w:type="spellEnd"/>
      <w:r w:rsidRPr="004C684C">
        <w:rPr>
          <w:rFonts w:ascii="Times New Roman" w:eastAsia="Times New Roman" w:hAnsi="Times New Roman" w:cs="Times New Roman"/>
          <w:i/>
          <w:sz w:val="25"/>
          <w:szCs w:val="25"/>
        </w:rPr>
        <w:t xml:space="preserve"> Singh</w:t>
      </w:r>
      <w:r w:rsidR="004C684C" w:rsidRPr="004C684C">
        <w:rPr>
          <w:rFonts w:ascii="Times New Roman" w:eastAsia="Times New Roman" w:hAnsi="Times New Roman" w:cs="Times New Roman"/>
          <w:i/>
          <w:sz w:val="25"/>
          <w:szCs w:val="25"/>
          <w:vertAlign w:val="superscript"/>
        </w:rPr>
        <w:t>8</w:t>
      </w:r>
      <w:r w:rsidRPr="004C684C">
        <w:rPr>
          <w:rFonts w:ascii="Times New Roman" w:eastAsia="Times New Roman" w:hAnsi="Times New Roman" w:cs="Times New Roman"/>
          <w:sz w:val="25"/>
          <w:szCs w:val="25"/>
        </w:rPr>
        <w:t xml:space="preserve">, a Bench of three Judges had held that if the refusal to condone the delay results in grave miscarriage of justice; it would be a ground to condone the delay. Delay was accordingly condoned. In </w:t>
      </w:r>
      <w:r w:rsidRPr="004C684C">
        <w:rPr>
          <w:rFonts w:ascii="Times New Roman" w:eastAsia="Times New Roman" w:hAnsi="Times New Roman" w:cs="Times New Roman"/>
          <w:i/>
          <w:sz w:val="25"/>
          <w:szCs w:val="25"/>
        </w:rPr>
        <w:t>Collector Land Acquisition v. Katiji</w:t>
      </w:r>
      <w:r w:rsidR="004C684C" w:rsidRPr="004C684C">
        <w:rPr>
          <w:rFonts w:ascii="Times New Roman" w:eastAsia="Times New Roman" w:hAnsi="Times New Roman" w:cs="Times New Roman"/>
          <w:i/>
          <w:sz w:val="25"/>
          <w:szCs w:val="25"/>
          <w:vertAlign w:val="superscript"/>
        </w:rPr>
        <w:t>9</w:t>
      </w:r>
      <w:r w:rsidRPr="004C684C">
        <w:rPr>
          <w:rFonts w:ascii="Times New Roman" w:eastAsia="Times New Roman" w:hAnsi="Times New Roman" w:cs="Times New Roman"/>
          <w:sz w:val="25"/>
          <w:szCs w:val="25"/>
        </w:rPr>
        <w:t xml:space="preserve">, a Bench of two Judges considered the question of the limitation in an appeal filed by the State and held that Section 5 was enacted in order to enable the court to do substantial justice to the parties by disposing of matters on merits. The expression "sufficient cause" is adequately elastic to enable the court to apply the law in a meaningful manner which </w:t>
      </w:r>
      <w:proofErr w:type="spellStart"/>
      <w:r w:rsidRPr="004C684C">
        <w:rPr>
          <w:rFonts w:ascii="Times New Roman" w:eastAsia="Times New Roman" w:hAnsi="Times New Roman" w:cs="Times New Roman"/>
          <w:sz w:val="25"/>
          <w:szCs w:val="25"/>
        </w:rPr>
        <w:t>subserves</w:t>
      </w:r>
      <w:proofErr w:type="spellEnd"/>
      <w:r w:rsidRPr="004C684C">
        <w:rPr>
          <w:rFonts w:ascii="Times New Roman" w:eastAsia="Times New Roman" w:hAnsi="Times New Roman" w:cs="Times New Roman"/>
          <w:sz w:val="25"/>
          <w:szCs w:val="25"/>
        </w:rPr>
        <w:t xml:space="preserve"> the ends of justice - that being the life-purpose for the existence of the institution of courts. It is common knowledge that this Court has been making a justifiably liberal approach in matters instituted in this Court. But the message does not appear to have percolated down to all the other courts in the hierarchy. </w:t>
      </w:r>
      <w:proofErr w:type="spellStart"/>
      <w:r w:rsidRPr="004C684C">
        <w:rPr>
          <w:rFonts w:ascii="Times New Roman" w:eastAsia="Times New Roman" w:hAnsi="Times New Roman" w:cs="Times New Roman"/>
          <w:sz w:val="25"/>
          <w:szCs w:val="25"/>
        </w:rPr>
        <w:t>ThisCourt</w:t>
      </w:r>
      <w:proofErr w:type="spellEnd"/>
      <w:r w:rsidRPr="004C684C">
        <w:rPr>
          <w:rFonts w:ascii="Times New Roman" w:eastAsia="Times New Roman" w:hAnsi="Times New Roman" w:cs="Times New Roman"/>
          <w:sz w:val="25"/>
          <w:szCs w:val="25"/>
        </w:rPr>
        <w:t xml:space="preserve"> reiterated that the expression "every day's delay must be explained" does not mean that a pedantic approach should be made. The doctrine must be applied in a rational common sense pragmatic manner. When substantial justice and technical considerations are pitted against each other, cause of substantial justice deserves to be preferred for the other side cannot claim to have vested right in injustice being done because of a non-deliberate delay. There is no presumption that delay is occasioned deliberately, or on account of culpable negligence, or on account of mala fides.  A litigant </w:t>
      </w:r>
      <w:r w:rsidRPr="004C684C">
        <w:rPr>
          <w:rFonts w:ascii="Times New Roman" w:eastAsia="Times New Roman" w:hAnsi="Times New Roman" w:cs="Times New Roman"/>
          <w:sz w:val="25"/>
          <w:szCs w:val="25"/>
        </w:rPr>
        <w:lastRenderedPageBreak/>
        <w:t xml:space="preserve">does not stand to benefit by resorting to delay. In fact he runs a serious risk. Judiciary is not respected on account of its power to </w:t>
      </w:r>
      <w:proofErr w:type="spellStart"/>
      <w:r w:rsidRPr="004C684C">
        <w:rPr>
          <w:rFonts w:ascii="Times New Roman" w:eastAsia="Times New Roman" w:hAnsi="Times New Roman" w:cs="Times New Roman"/>
          <w:sz w:val="25"/>
          <w:szCs w:val="25"/>
        </w:rPr>
        <w:t>legalise</w:t>
      </w:r>
      <w:proofErr w:type="spellEnd"/>
      <w:r w:rsidRPr="004C684C">
        <w:rPr>
          <w:rFonts w:ascii="Times New Roman" w:eastAsia="Times New Roman" w:hAnsi="Times New Roman" w:cs="Times New Roman"/>
          <w:sz w:val="25"/>
          <w:szCs w:val="25"/>
        </w:rPr>
        <w:t xml:space="preserve"> injustice on technical grounds but because it is capable of removing injustice and is expected to do so. Making a justice-oriented approach from this perspective, there was sufficient cause for condoning the delay in the institution of the appeal. The fact that it was the State which was seeking </w:t>
      </w:r>
      <w:proofErr w:type="spellStart"/>
      <w:r w:rsidRPr="004C684C">
        <w:rPr>
          <w:rFonts w:ascii="Times New Roman" w:eastAsia="Times New Roman" w:hAnsi="Times New Roman" w:cs="Times New Roman"/>
          <w:sz w:val="25"/>
          <w:szCs w:val="25"/>
        </w:rPr>
        <w:t>condonation</w:t>
      </w:r>
      <w:proofErr w:type="spellEnd"/>
      <w:r w:rsidRPr="004C684C">
        <w:rPr>
          <w:rFonts w:ascii="Times New Roman" w:eastAsia="Times New Roman" w:hAnsi="Times New Roman" w:cs="Times New Roman"/>
          <w:sz w:val="25"/>
          <w:szCs w:val="25"/>
        </w:rPr>
        <w:t xml:space="preserve"> and not a private party was altogether irrelevant. The doctrine of equality before law demands that all litigants, including the State as a litigant, are accorded the same treatment and the law is administered in an even-handed manner. There is no warrant for according a step-motherly treatment when the State is the applicant. The delay was accordingly condoned.</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12. Experience shows that on account of an impersonal machinery (no one in charge of the matter is directly hit or hurt by the judgment sought to be subjected to appeal) and the inherited bureaucratic methodology imbued with the note-making, file-pushing, and passing-on-the-buck ethos, delay on its part is less difficult to understand though more difficult to approve. The State which represents collective cause of the community does not deserve a litigant-non- grata status. The courts, therefore, have to be informed with the spirit and philosophy of the provision in the course of the interpretation of the expression of sufficient cause. Merit is preferred to scuttle a decision on merits in turning down the case on technicalities of delay in presenting the appeal. Delay as accordingly condoned, the order was set aside and the matter was remitted to the High Court for disposal on merits after affording opportunity of hearing to the parties. In </w:t>
      </w:r>
      <w:proofErr w:type="spellStart"/>
      <w:r w:rsidRPr="004C684C">
        <w:rPr>
          <w:rFonts w:ascii="Times New Roman" w:eastAsia="Times New Roman" w:hAnsi="Times New Roman" w:cs="Times New Roman"/>
          <w:i/>
          <w:sz w:val="25"/>
          <w:szCs w:val="25"/>
        </w:rPr>
        <w:t>Prabha</w:t>
      </w:r>
      <w:proofErr w:type="spellEnd"/>
      <w:r w:rsidRPr="004C684C">
        <w:rPr>
          <w:rFonts w:ascii="Times New Roman" w:eastAsia="Times New Roman" w:hAnsi="Times New Roman" w:cs="Times New Roman"/>
          <w:i/>
          <w:sz w:val="25"/>
          <w:szCs w:val="25"/>
        </w:rPr>
        <w:t xml:space="preserve"> v. Ram </w:t>
      </w:r>
      <w:proofErr w:type="spellStart"/>
      <w:r w:rsidRPr="004C684C">
        <w:rPr>
          <w:rFonts w:ascii="Times New Roman" w:eastAsia="Times New Roman" w:hAnsi="Times New Roman" w:cs="Times New Roman"/>
          <w:i/>
          <w:sz w:val="25"/>
          <w:szCs w:val="25"/>
        </w:rPr>
        <w:t>Parkash</w:t>
      </w:r>
      <w:proofErr w:type="spellEnd"/>
      <w:r w:rsidRPr="004C684C">
        <w:rPr>
          <w:rFonts w:ascii="Times New Roman" w:eastAsia="Times New Roman" w:hAnsi="Times New Roman" w:cs="Times New Roman"/>
          <w:i/>
          <w:sz w:val="25"/>
          <w:szCs w:val="25"/>
        </w:rPr>
        <w:t xml:space="preserve"> Kalra</w:t>
      </w:r>
      <w:r w:rsidR="004C684C" w:rsidRPr="004C684C">
        <w:rPr>
          <w:rFonts w:ascii="Times New Roman" w:eastAsia="Times New Roman" w:hAnsi="Times New Roman" w:cs="Times New Roman"/>
          <w:i/>
          <w:sz w:val="25"/>
          <w:szCs w:val="25"/>
          <w:vertAlign w:val="superscript"/>
        </w:rPr>
        <w:t>10</w:t>
      </w:r>
      <w:r w:rsidRPr="004C684C">
        <w:rPr>
          <w:rFonts w:ascii="Times New Roman" w:eastAsia="Times New Roman" w:hAnsi="Times New Roman" w:cs="Times New Roman"/>
          <w:sz w:val="25"/>
          <w:szCs w:val="25"/>
        </w:rPr>
        <w:t xml:space="preserve">, this Court had held that the court should not adopt an injustice- oriented approach in rejecting the application for </w:t>
      </w:r>
      <w:proofErr w:type="spellStart"/>
      <w:r w:rsidRPr="004C684C">
        <w:rPr>
          <w:rFonts w:ascii="Times New Roman" w:eastAsia="Times New Roman" w:hAnsi="Times New Roman" w:cs="Times New Roman"/>
          <w:sz w:val="25"/>
          <w:szCs w:val="25"/>
        </w:rPr>
        <w:t>condonation</w:t>
      </w:r>
      <w:proofErr w:type="spellEnd"/>
      <w:r w:rsidRPr="004C684C">
        <w:rPr>
          <w:rFonts w:ascii="Times New Roman" w:eastAsia="Times New Roman" w:hAnsi="Times New Roman" w:cs="Times New Roman"/>
          <w:sz w:val="25"/>
          <w:szCs w:val="25"/>
        </w:rPr>
        <w:t xml:space="preserve"> of delay. The appeal was allowed, the delay was condoned and the matter was remitted for expeditious disposal in accordance with law.</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13. In </w:t>
      </w:r>
      <w:r w:rsidRPr="004C684C">
        <w:rPr>
          <w:rFonts w:ascii="Times New Roman" w:eastAsia="Times New Roman" w:hAnsi="Times New Roman" w:cs="Times New Roman"/>
          <w:i/>
          <w:sz w:val="25"/>
          <w:szCs w:val="25"/>
        </w:rPr>
        <w:t xml:space="preserve">G. </w:t>
      </w:r>
      <w:proofErr w:type="spellStart"/>
      <w:r w:rsidRPr="004C684C">
        <w:rPr>
          <w:rFonts w:ascii="Times New Roman" w:eastAsia="Times New Roman" w:hAnsi="Times New Roman" w:cs="Times New Roman"/>
          <w:i/>
          <w:sz w:val="25"/>
          <w:szCs w:val="25"/>
        </w:rPr>
        <w:t>Ramegowda</w:t>
      </w:r>
      <w:proofErr w:type="spellEnd"/>
      <w:r w:rsidRPr="004C684C">
        <w:rPr>
          <w:rFonts w:ascii="Times New Roman" w:eastAsia="Times New Roman" w:hAnsi="Times New Roman" w:cs="Times New Roman"/>
          <w:i/>
          <w:sz w:val="25"/>
          <w:szCs w:val="25"/>
        </w:rPr>
        <w:t xml:space="preserve">, Major v. </w:t>
      </w:r>
      <w:proofErr w:type="spellStart"/>
      <w:r w:rsidRPr="004C684C">
        <w:rPr>
          <w:rFonts w:ascii="Times New Roman" w:eastAsia="Times New Roman" w:hAnsi="Times New Roman" w:cs="Times New Roman"/>
          <w:i/>
          <w:sz w:val="25"/>
          <w:szCs w:val="25"/>
        </w:rPr>
        <w:t>Spl</w:t>
      </w:r>
      <w:proofErr w:type="spellEnd"/>
      <w:r w:rsidRPr="004C684C">
        <w:rPr>
          <w:rFonts w:ascii="Times New Roman" w:eastAsia="Times New Roman" w:hAnsi="Times New Roman" w:cs="Times New Roman"/>
          <w:i/>
          <w:sz w:val="25"/>
          <w:szCs w:val="25"/>
        </w:rPr>
        <w:t>. Land Acquisition Officer</w:t>
      </w:r>
      <w:r w:rsidR="004C684C" w:rsidRPr="004C684C">
        <w:rPr>
          <w:rFonts w:ascii="Times New Roman" w:eastAsia="Times New Roman" w:hAnsi="Times New Roman" w:cs="Times New Roman"/>
          <w:i/>
          <w:sz w:val="25"/>
          <w:szCs w:val="25"/>
          <w:vertAlign w:val="superscript"/>
        </w:rPr>
        <w:t>11</w:t>
      </w:r>
      <w:r w:rsidRPr="004C684C">
        <w:rPr>
          <w:rFonts w:ascii="Times New Roman" w:eastAsia="Times New Roman" w:hAnsi="Times New Roman" w:cs="Times New Roman"/>
          <w:sz w:val="25"/>
          <w:szCs w:val="25"/>
        </w:rPr>
        <w:t xml:space="preserve">, it was held that no general principle saving the party from all mistakes of its counsel could be laid. The expression "sufficient cause" must receive a liberal construction so as to advance substantial justice and generally delays in preferring the appeals are required to be condoned in the interest of justice where no gross negligence or deliberate inaction or lack of bona fides is imputable to the party seeking </w:t>
      </w:r>
      <w:proofErr w:type="spellStart"/>
      <w:r w:rsidRPr="004C684C">
        <w:rPr>
          <w:rFonts w:ascii="Times New Roman" w:eastAsia="Times New Roman" w:hAnsi="Times New Roman" w:cs="Times New Roman"/>
          <w:sz w:val="25"/>
          <w:szCs w:val="25"/>
        </w:rPr>
        <w:t>condonation</w:t>
      </w:r>
      <w:proofErr w:type="spellEnd"/>
      <w:r w:rsidRPr="004C684C">
        <w:rPr>
          <w:rFonts w:ascii="Times New Roman" w:eastAsia="Times New Roman" w:hAnsi="Times New Roman" w:cs="Times New Roman"/>
          <w:sz w:val="25"/>
          <w:szCs w:val="25"/>
        </w:rPr>
        <w:t xml:space="preserve"> of delay. In litigations to which Government is a party, there is yet another aspect which, perhaps, cannot be ignored. If appeals brought by Government are lost for such defaults, no person is individually affected, but what, in the ultimate analysis, suffers is public interest. The decisions of Government are collective and institutional decisions and do not share the characteristics of decisions of private individuals. The law of limitation is, no doubt, the same for a private citizen as for governmental authorities. Government, like any other litigant must take responsibility for the acts, omissions of its officers. But a somewhat different complexion is imparted to the matter where Government makes out a case where public interest was shown to have suffered owing to acts of fraud or bad faith on the part of its officers or agents and where the officers were clearly at cross-purposes with it. It was, therefore, held that in assessing what constitutes sufficient cause for purposes of Section 5, it might, perhaps, be somewhat unrealistic to exclude from the consideration that go into the judicial verdict, these factors which are peculiar to and characteristic of the functioning of the Government. Government decisions are proverbially slow encumbered, as they are, by a considerable degree of procedural red-tape in the process </w:t>
      </w:r>
      <w:r w:rsidRPr="004C684C">
        <w:rPr>
          <w:rFonts w:ascii="Times New Roman" w:eastAsia="Times New Roman" w:hAnsi="Times New Roman" w:cs="Times New Roman"/>
          <w:sz w:val="25"/>
          <w:szCs w:val="25"/>
        </w:rPr>
        <w:lastRenderedPageBreak/>
        <w:t>of their making. A certain amount of latitude is, therefore, not impermissible. It is rightly said that those who bear responsibility of Government must have "a little play at the joints". Due recognition of these limitations on governmental functioning - of course, within reasonable limits - is necessary if the judicial approach is not to be rendered unrealistic. It would, perhaps, be unfair and unrealistic to put Government and private parties on the same footing in all respects in such matters. Implicit in the very nature of Governmental functioning is procedural delay incidental to the decision-making process. The delay of over one year was accordingly condoned.</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14. It is axiomatic that decisions are taken by officers/agencies proverbially at slow pace and encumbered process of pushing the files from table to table and keeping it on table for considerable time causing delay - intentional or otherwise - is a routine. Considerable delay of procedural red-tape in the process of their making decision is a common feature.   Therefore, certain amount of   latitude is not impermissible. If the appeals brought by the State are lost for such default no person is individually affected but what in the ultimate analysis suffers, is public interest. The expression "sufficient cause" should, therefore, be considered with pragmatism in justice-oriented approach rather than the technical detection of sufficient cause for explaining every day's delay. The factors which are peculiar to and characteristic of the functioning of the governmental conditions would be cognizant to and requires adoption of pragmatic approach in justice-oriented process. The court should decide the matters on merits unless the case is hopelessly without merit. No separate standards to determine the cause laid by the State </w:t>
      </w:r>
      <w:proofErr w:type="spellStart"/>
      <w:r w:rsidRPr="004C684C">
        <w:rPr>
          <w:rFonts w:ascii="Times New Roman" w:eastAsia="Times New Roman" w:hAnsi="Times New Roman" w:cs="Times New Roman"/>
          <w:sz w:val="25"/>
          <w:szCs w:val="25"/>
        </w:rPr>
        <w:t>vis</w:t>
      </w:r>
      <w:proofErr w:type="spellEnd"/>
      <w:r w:rsidRPr="004C684C">
        <w:rPr>
          <w:rFonts w:ascii="Times New Roman" w:eastAsia="Times New Roman" w:hAnsi="Times New Roman" w:cs="Times New Roman"/>
          <w:sz w:val="25"/>
          <w:szCs w:val="25"/>
        </w:rPr>
        <w:t>-a-</w:t>
      </w:r>
      <w:proofErr w:type="spellStart"/>
      <w:r w:rsidRPr="004C684C">
        <w:rPr>
          <w:rFonts w:ascii="Times New Roman" w:eastAsia="Times New Roman" w:hAnsi="Times New Roman" w:cs="Times New Roman"/>
          <w:sz w:val="25"/>
          <w:szCs w:val="25"/>
        </w:rPr>
        <w:t>vis</w:t>
      </w:r>
      <w:proofErr w:type="spellEnd"/>
      <w:r w:rsidRPr="004C684C">
        <w:rPr>
          <w:rFonts w:ascii="Times New Roman" w:eastAsia="Times New Roman" w:hAnsi="Times New Roman" w:cs="Times New Roman"/>
          <w:sz w:val="25"/>
          <w:szCs w:val="25"/>
        </w:rPr>
        <w:t xml:space="preserve"> private litigant could be laid to prove strict standards of sufficient cause. The Government at appropriate level should constitute legal cells to examine the cases whether any legal principles are involved for decision by the courts or whether cases require adjustment and should </w:t>
      </w:r>
      <w:proofErr w:type="spellStart"/>
      <w:r w:rsidRPr="004C684C">
        <w:rPr>
          <w:rFonts w:ascii="Times New Roman" w:eastAsia="Times New Roman" w:hAnsi="Times New Roman" w:cs="Times New Roman"/>
          <w:sz w:val="25"/>
          <w:szCs w:val="25"/>
        </w:rPr>
        <w:t>authorise</w:t>
      </w:r>
      <w:proofErr w:type="spellEnd"/>
      <w:r w:rsidRPr="004C684C">
        <w:rPr>
          <w:rFonts w:ascii="Times New Roman" w:eastAsia="Times New Roman" w:hAnsi="Times New Roman" w:cs="Times New Roman"/>
          <w:sz w:val="25"/>
          <w:szCs w:val="25"/>
        </w:rPr>
        <w:t xml:space="preserve"> the officers to take a decision or give appropriate permission for settlement. In the event of decision to file appeal needed prompt action should be pursued by the officer responsible to file the appeal and he should be made personally responsible for lapses, if any. Equally, the State cannot be put on the same footing as an individual. The individual would always be quick in taking the decision whether he would pursue the remedy by way of an appeal or application since he is a person legally injured while State is an impersonal machinery working through its officers or servants.</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15.  The above position was highlighted in </w:t>
      </w:r>
      <w:r w:rsidRPr="004C684C">
        <w:rPr>
          <w:rFonts w:ascii="Times New Roman" w:eastAsia="Times New Roman" w:hAnsi="Times New Roman" w:cs="Times New Roman"/>
          <w:i/>
          <w:sz w:val="25"/>
          <w:szCs w:val="25"/>
        </w:rPr>
        <w:t>State of Haryana v. Chandra Mani and Ors.</w:t>
      </w:r>
      <w:r w:rsidR="004C684C" w:rsidRPr="004C684C">
        <w:rPr>
          <w:rFonts w:ascii="Times New Roman" w:eastAsia="Times New Roman" w:hAnsi="Times New Roman" w:cs="Times New Roman"/>
          <w:i/>
          <w:sz w:val="25"/>
          <w:szCs w:val="25"/>
          <w:vertAlign w:val="superscript"/>
        </w:rPr>
        <w:t>12</w:t>
      </w:r>
      <w:r w:rsidRPr="004C684C">
        <w:rPr>
          <w:rFonts w:ascii="Times New Roman" w:eastAsia="Times New Roman" w:hAnsi="Times New Roman" w:cs="Times New Roman"/>
          <w:i/>
          <w:sz w:val="25"/>
          <w:szCs w:val="25"/>
        </w:rPr>
        <w:t xml:space="preserve"> Special </w:t>
      </w:r>
      <w:proofErr w:type="spellStart"/>
      <w:r w:rsidRPr="004C684C">
        <w:rPr>
          <w:rFonts w:ascii="Times New Roman" w:eastAsia="Times New Roman" w:hAnsi="Times New Roman" w:cs="Times New Roman"/>
          <w:i/>
          <w:sz w:val="25"/>
          <w:szCs w:val="25"/>
        </w:rPr>
        <w:t>Tehsildar</w:t>
      </w:r>
      <w:proofErr w:type="spellEnd"/>
      <w:r w:rsidRPr="004C684C">
        <w:rPr>
          <w:rFonts w:ascii="Times New Roman" w:eastAsia="Times New Roman" w:hAnsi="Times New Roman" w:cs="Times New Roman"/>
          <w:i/>
          <w:sz w:val="25"/>
          <w:szCs w:val="25"/>
        </w:rPr>
        <w:t>, Land Acquisition, Kerala v. K.V. Ayisumma</w:t>
      </w:r>
      <w:r w:rsidR="004C684C" w:rsidRPr="004C684C">
        <w:rPr>
          <w:rFonts w:ascii="Times New Roman" w:eastAsia="Times New Roman" w:hAnsi="Times New Roman" w:cs="Times New Roman"/>
          <w:i/>
          <w:sz w:val="25"/>
          <w:szCs w:val="25"/>
          <w:vertAlign w:val="superscript"/>
        </w:rPr>
        <w:t>13</w:t>
      </w:r>
      <w:r w:rsidR="004C684C" w:rsidRPr="004C684C">
        <w:rPr>
          <w:rFonts w:ascii="Times New Roman" w:eastAsia="Times New Roman" w:hAnsi="Times New Roman" w:cs="Times New Roman"/>
          <w:sz w:val="25"/>
          <w:szCs w:val="25"/>
        </w:rPr>
        <w:t xml:space="preserve"> </w:t>
      </w:r>
      <w:r w:rsidR="004C684C" w:rsidRPr="004C684C">
        <w:rPr>
          <w:rFonts w:ascii="Times New Roman" w:eastAsia="Times New Roman" w:hAnsi="Times New Roman" w:cs="Times New Roman"/>
          <w:i/>
          <w:sz w:val="25"/>
          <w:szCs w:val="25"/>
        </w:rPr>
        <w:t xml:space="preserve">and State of Nagaland v. </w:t>
      </w:r>
      <w:proofErr w:type="spellStart"/>
      <w:r w:rsidR="004C684C" w:rsidRPr="004C684C">
        <w:rPr>
          <w:rFonts w:ascii="Times New Roman" w:eastAsia="Times New Roman" w:hAnsi="Times New Roman" w:cs="Times New Roman"/>
          <w:i/>
          <w:sz w:val="25"/>
          <w:szCs w:val="25"/>
        </w:rPr>
        <w:t>Lipok</w:t>
      </w:r>
      <w:proofErr w:type="spellEnd"/>
      <w:r w:rsidR="004C684C" w:rsidRPr="004C684C">
        <w:rPr>
          <w:rFonts w:ascii="Times New Roman" w:eastAsia="Times New Roman" w:hAnsi="Times New Roman" w:cs="Times New Roman"/>
          <w:i/>
          <w:sz w:val="25"/>
          <w:szCs w:val="25"/>
        </w:rPr>
        <w:t xml:space="preserve"> AO and Ors.</w:t>
      </w:r>
      <w:r w:rsidR="004C684C" w:rsidRPr="004C684C">
        <w:rPr>
          <w:rFonts w:ascii="Times New Roman" w:eastAsia="Times New Roman" w:hAnsi="Times New Roman" w:cs="Times New Roman"/>
          <w:i/>
          <w:sz w:val="25"/>
          <w:szCs w:val="25"/>
          <w:vertAlign w:val="superscript"/>
        </w:rPr>
        <w:t>14</w:t>
      </w:r>
      <w:r w:rsidRPr="004C684C">
        <w:rPr>
          <w:rFonts w:ascii="Times New Roman" w:eastAsia="Times New Roman" w:hAnsi="Times New Roman" w:cs="Times New Roman"/>
          <w:sz w:val="25"/>
          <w:szCs w:val="25"/>
        </w:rPr>
        <w:t xml:space="preserve">. It was noted that adoption of strict standard of proof sometimes fail to protract public justice, and it would result in public mischief by </w:t>
      </w:r>
      <w:proofErr w:type="spellStart"/>
      <w:r w:rsidRPr="004C684C">
        <w:rPr>
          <w:rFonts w:ascii="Times New Roman" w:eastAsia="Times New Roman" w:hAnsi="Times New Roman" w:cs="Times New Roman"/>
          <w:sz w:val="25"/>
          <w:szCs w:val="25"/>
        </w:rPr>
        <w:t>skilful</w:t>
      </w:r>
      <w:proofErr w:type="spellEnd"/>
      <w:r w:rsidRPr="004C684C">
        <w:rPr>
          <w:rFonts w:ascii="Times New Roman" w:eastAsia="Times New Roman" w:hAnsi="Times New Roman" w:cs="Times New Roman"/>
          <w:sz w:val="25"/>
          <w:szCs w:val="25"/>
        </w:rPr>
        <w:t xml:space="preserve"> management of delay in the process of filing an appeal.</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xml:space="preserve">16. We find that the appellant had indicated the reasons for the delay in filing and re-filing the revision petition. The High Court unfortunately did not deal with those explanations and merely stated that the delay has not been explained. The High Court was required to examine the correctness of the explanation given, keeping in view the principles laid down by this Court in several cases. According to us, the explanations offered were plausible and deserved to be accepted. Accordingly, we set aside the impugned order of the High Court and remit </w:t>
      </w:r>
      <w:r w:rsidRPr="004C684C">
        <w:rPr>
          <w:rFonts w:ascii="Times New Roman" w:eastAsia="Times New Roman" w:hAnsi="Times New Roman" w:cs="Times New Roman"/>
          <w:sz w:val="25"/>
          <w:szCs w:val="25"/>
        </w:rPr>
        <w:lastRenderedPageBreak/>
        <w:t>the matter to it to hear the Criminal Revision on merits. It is made clear that we have not expressed any opinion on merits.</w:t>
      </w:r>
    </w:p>
    <w:p w:rsidR="005879DE" w:rsidRPr="004C684C"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 </w:t>
      </w:r>
    </w:p>
    <w:p w:rsidR="005879DE" w:rsidRDefault="005879DE" w:rsidP="004C684C">
      <w:pPr>
        <w:spacing w:after="0" w:line="240" w:lineRule="auto"/>
        <w:jc w:val="both"/>
        <w:rPr>
          <w:rFonts w:ascii="Times New Roman" w:eastAsia="Times New Roman" w:hAnsi="Times New Roman" w:cs="Times New Roman"/>
          <w:sz w:val="25"/>
          <w:szCs w:val="25"/>
        </w:rPr>
      </w:pPr>
      <w:r w:rsidRPr="004C684C">
        <w:rPr>
          <w:rFonts w:ascii="Times New Roman" w:eastAsia="Times New Roman" w:hAnsi="Times New Roman" w:cs="Times New Roman"/>
          <w:sz w:val="25"/>
          <w:szCs w:val="25"/>
        </w:rPr>
        <w:t>17.   The appeal is allowed.</w:t>
      </w:r>
    </w:p>
    <w:p w:rsidR="004C684C" w:rsidRDefault="004C684C" w:rsidP="004C684C">
      <w:pPr>
        <w:spacing w:after="0" w:line="240" w:lineRule="auto"/>
        <w:jc w:val="both"/>
        <w:rPr>
          <w:rFonts w:ascii="Times New Roman" w:eastAsia="Times New Roman" w:hAnsi="Times New Roman" w:cs="Times New Roman"/>
          <w:sz w:val="25"/>
          <w:szCs w:val="25"/>
        </w:rPr>
      </w:pPr>
    </w:p>
    <w:p w:rsidR="004C684C" w:rsidRPr="004C684C" w:rsidRDefault="004C684C" w:rsidP="004C684C">
      <w:pPr>
        <w:spacing w:after="0" w:line="240" w:lineRule="auto"/>
        <w:jc w:val="both"/>
        <w:rPr>
          <w:rFonts w:ascii="Times New Roman" w:eastAsia="Times New Roman" w:hAnsi="Times New Roman" w:cs="Times New Roman"/>
          <w:i/>
        </w:rPr>
      </w:pPr>
      <w:r w:rsidRPr="004C684C">
        <w:rPr>
          <w:rFonts w:ascii="Times New Roman" w:eastAsia="Times New Roman" w:hAnsi="Times New Roman" w:cs="Times New Roman"/>
          <w:i/>
          <w:vertAlign w:val="superscript"/>
        </w:rPr>
        <w:t>1</w:t>
      </w:r>
      <w:r w:rsidRPr="004C684C">
        <w:rPr>
          <w:rFonts w:ascii="Times New Roman" w:eastAsia="Times New Roman" w:hAnsi="Times New Roman" w:cs="Times New Roman"/>
          <w:i/>
        </w:rPr>
        <w:t xml:space="preserve">(1975 (2) SCC 840)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2</w:t>
      </w:r>
      <w:r w:rsidRPr="004C684C">
        <w:rPr>
          <w:rFonts w:ascii="Times New Roman" w:eastAsia="Times New Roman" w:hAnsi="Times New Roman" w:cs="Times New Roman"/>
          <w:i/>
        </w:rPr>
        <w:t xml:space="preserve">(ILR (1918) 45 Cal 94 (PC)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3</w:t>
      </w:r>
      <w:r w:rsidRPr="004C684C">
        <w:rPr>
          <w:rFonts w:ascii="Times New Roman" w:eastAsia="Times New Roman" w:hAnsi="Times New Roman" w:cs="Times New Roman"/>
          <w:i/>
        </w:rPr>
        <w:t xml:space="preserve">(AIR 1969 SC 575)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4</w:t>
      </w:r>
      <w:r w:rsidRPr="004C684C">
        <w:rPr>
          <w:rFonts w:ascii="Times New Roman" w:eastAsia="Times New Roman" w:hAnsi="Times New Roman" w:cs="Times New Roman"/>
          <w:i/>
        </w:rPr>
        <w:t>(1979 (4) SCC 365)</w:t>
      </w:r>
    </w:p>
    <w:p w:rsidR="004C684C" w:rsidRPr="004C684C" w:rsidRDefault="004C684C" w:rsidP="004C684C">
      <w:pPr>
        <w:spacing w:after="0" w:line="240" w:lineRule="auto"/>
        <w:jc w:val="both"/>
        <w:rPr>
          <w:rFonts w:ascii="Times New Roman" w:eastAsia="Times New Roman" w:hAnsi="Times New Roman" w:cs="Times New Roman"/>
          <w:i/>
        </w:rPr>
      </w:pPr>
      <w:r w:rsidRPr="004C684C">
        <w:rPr>
          <w:rFonts w:ascii="Times New Roman" w:eastAsia="Times New Roman" w:hAnsi="Times New Roman" w:cs="Times New Roman"/>
          <w:i/>
          <w:vertAlign w:val="superscript"/>
        </w:rPr>
        <w:t>5</w:t>
      </w:r>
      <w:r w:rsidRPr="004C684C">
        <w:rPr>
          <w:rFonts w:ascii="Times New Roman" w:eastAsia="Times New Roman" w:hAnsi="Times New Roman" w:cs="Times New Roman"/>
          <w:i/>
        </w:rPr>
        <w:t>(1969 (2) SCC 770)</w:t>
      </w:r>
      <w:r>
        <w:rPr>
          <w:rFonts w:ascii="Times New Roman" w:eastAsia="Times New Roman" w:hAnsi="Times New Roman" w:cs="Times New Roman"/>
          <w:i/>
        </w:rPr>
        <w:t xml:space="preserve">       </w:t>
      </w:r>
      <w:r w:rsidRPr="004C684C">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6</w:t>
      </w:r>
      <w:r w:rsidRPr="004C684C">
        <w:rPr>
          <w:rFonts w:ascii="Times New Roman" w:eastAsia="Times New Roman" w:hAnsi="Times New Roman" w:cs="Times New Roman"/>
          <w:i/>
        </w:rPr>
        <w:t xml:space="preserve">(1981 </w:t>
      </w:r>
      <w:proofErr w:type="spellStart"/>
      <w:r w:rsidRPr="004C684C">
        <w:rPr>
          <w:rFonts w:ascii="Times New Roman" w:eastAsia="Times New Roman" w:hAnsi="Times New Roman" w:cs="Times New Roman"/>
          <w:i/>
        </w:rPr>
        <w:t>Supp</w:t>
      </w:r>
      <w:proofErr w:type="spellEnd"/>
      <w:r w:rsidRPr="004C684C">
        <w:rPr>
          <w:rFonts w:ascii="Times New Roman" w:eastAsia="Times New Roman" w:hAnsi="Times New Roman" w:cs="Times New Roman"/>
          <w:i/>
        </w:rPr>
        <w:t xml:space="preserve"> SCC 72)</w:t>
      </w:r>
      <w:r>
        <w:rPr>
          <w:rFonts w:ascii="Times New Roman" w:eastAsia="Times New Roman" w:hAnsi="Times New Roman" w:cs="Times New Roman"/>
          <w:i/>
        </w:rPr>
        <w:t xml:space="preserve">                </w:t>
      </w:r>
      <w:r w:rsidRPr="004C684C">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7</w:t>
      </w:r>
      <w:r w:rsidRPr="004C684C">
        <w:rPr>
          <w:rFonts w:ascii="Times New Roman" w:eastAsia="Times New Roman" w:hAnsi="Times New Roman" w:cs="Times New Roman"/>
          <w:i/>
        </w:rPr>
        <w:t xml:space="preserve">(1982 (3) SCC 366)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8</w:t>
      </w:r>
      <w:r w:rsidRPr="004C684C">
        <w:rPr>
          <w:rFonts w:ascii="Times New Roman" w:eastAsia="Times New Roman" w:hAnsi="Times New Roman" w:cs="Times New Roman"/>
          <w:i/>
        </w:rPr>
        <w:t xml:space="preserve">(1984 (4) SCC 66) </w:t>
      </w:r>
    </w:p>
    <w:p w:rsidR="004C684C" w:rsidRPr="004C684C" w:rsidRDefault="004C684C" w:rsidP="004C684C">
      <w:pPr>
        <w:spacing w:after="0" w:line="240" w:lineRule="auto"/>
        <w:jc w:val="both"/>
        <w:rPr>
          <w:rFonts w:ascii="Times New Roman" w:eastAsia="Times New Roman" w:hAnsi="Times New Roman" w:cs="Times New Roman"/>
          <w:i/>
        </w:rPr>
      </w:pPr>
      <w:r w:rsidRPr="004C684C">
        <w:rPr>
          <w:rFonts w:ascii="Times New Roman" w:eastAsia="Times New Roman" w:hAnsi="Times New Roman" w:cs="Times New Roman"/>
          <w:i/>
          <w:vertAlign w:val="superscript"/>
        </w:rPr>
        <w:t>9</w:t>
      </w:r>
      <w:r w:rsidRPr="004C684C">
        <w:rPr>
          <w:rFonts w:ascii="Times New Roman" w:eastAsia="Times New Roman" w:hAnsi="Times New Roman" w:cs="Times New Roman"/>
          <w:i/>
        </w:rPr>
        <w:t xml:space="preserve">(1987 (2) SCC 107)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10</w:t>
      </w:r>
      <w:r w:rsidRPr="004C684C">
        <w:rPr>
          <w:rFonts w:ascii="Times New Roman" w:eastAsia="Times New Roman" w:hAnsi="Times New Roman" w:cs="Times New Roman"/>
          <w:i/>
        </w:rPr>
        <w:t xml:space="preserve">(1987 </w:t>
      </w:r>
      <w:proofErr w:type="spellStart"/>
      <w:r w:rsidRPr="004C684C">
        <w:rPr>
          <w:rFonts w:ascii="Times New Roman" w:eastAsia="Times New Roman" w:hAnsi="Times New Roman" w:cs="Times New Roman"/>
          <w:i/>
        </w:rPr>
        <w:t>Supp</w:t>
      </w:r>
      <w:proofErr w:type="spellEnd"/>
      <w:r w:rsidRPr="004C684C">
        <w:rPr>
          <w:rFonts w:ascii="Times New Roman" w:eastAsia="Times New Roman" w:hAnsi="Times New Roman" w:cs="Times New Roman"/>
          <w:i/>
        </w:rPr>
        <w:t xml:space="preserve"> SCC 339)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11</w:t>
      </w:r>
      <w:r w:rsidRPr="004C684C">
        <w:rPr>
          <w:rFonts w:ascii="Times New Roman" w:eastAsia="Times New Roman" w:hAnsi="Times New Roman" w:cs="Times New Roman"/>
          <w:i/>
        </w:rPr>
        <w:t xml:space="preserve">(1988 (2) SCC 142) </w:t>
      </w:r>
      <w:r>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12</w:t>
      </w:r>
      <w:r w:rsidRPr="004C684C">
        <w:rPr>
          <w:rFonts w:ascii="Times New Roman" w:eastAsia="Times New Roman" w:hAnsi="Times New Roman" w:cs="Times New Roman"/>
          <w:i/>
        </w:rPr>
        <w:t>(1996 (3) SCC 132)</w:t>
      </w:r>
    </w:p>
    <w:p w:rsidR="004C684C" w:rsidRPr="004C684C" w:rsidRDefault="004C684C" w:rsidP="004C684C">
      <w:pPr>
        <w:spacing w:after="0" w:line="240" w:lineRule="auto"/>
        <w:jc w:val="both"/>
        <w:rPr>
          <w:rFonts w:ascii="Times New Roman" w:eastAsia="Times New Roman" w:hAnsi="Times New Roman" w:cs="Times New Roman"/>
          <w:i/>
        </w:rPr>
      </w:pPr>
      <w:r w:rsidRPr="004C684C">
        <w:rPr>
          <w:rFonts w:ascii="Times New Roman" w:eastAsia="Times New Roman" w:hAnsi="Times New Roman" w:cs="Times New Roman"/>
          <w:i/>
          <w:vertAlign w:val="superscript"/>
        </w:rPr>
        <w:t>13</w:t>
      </w:r>
      <w:r w:rsidRPr="004C684C">
        <w:rPr>
          <w:rFonts w:ascii="Times New Roman" w:eastAsia="Times New Roman" w:hAnsi="Times New Roman" w:cs="Times New Roman"/>
          <w:i/>
        </w:rPr>
        <w:t>(1996 (10) SCC 634)</w:t>
      </w:r>
      <w:r>
        <w:rPr>
          <w:rFonts w:ascii="Times New Roman" w:eastAsia="Times New Roman" w:hAnsi="Times New Roman" w:cs="Times New Roman"/>
          <w:i/>
        </w:rPr>
        <w:t xml:space="preserve">   </w:t>
      </w:r>
      <w:r w:rsidRPr="004C684C">
        <w:rPr>
          <w:rFonts w:ascii="Times New Roman" w:eastAsia="Times New Roman" w:hAnsi="Times New Roman" w:cs="Times New Roman"/>
          <w:i/>
        </w:rPr>
        <w:t xml:space="preserve"> </w:t>
      </w:r>
      <w:r w:rsidRPr="004C684C">
        <w:rPr>
          <w:rFonts w:ascii="Times New Roman" w:eastAsia="Times New Roman" w:hAnsi="Times New Roman" w:cs="Times New Roman"/>
          <w:i/>
          <w:vertAlign w:val="superscript"/>
        </w:rPr>
        <w:t>14</w:t>
      </w:r>
      <w:r w:rsidRPr="004C684C">
        <w:rPr>
          <w:rFonts w:ascii="Times New Roman" w:eastAsia="Times New Roman" w:hAnsi="Times New Roman" w:cs="Times New Roman"/>
          <w:i/>
        </w:rPr>
        <w:t xml:space="preserve">(2005 (3) SCC 752) </w:t>
      </w:r>
    </w:p>
    <w:sectPr w:rsidR="004C684C" w:rsidRPr="004C684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667" w:rsidRDefault="00B57667" w:rsidP="00DA0365">
      <w:pPr>
        <w:spacing w:after="0" w:line="240" w:lineRule="auto"/>
      </w:pPr>
      <w:r>
        <w:separator/>
      </w:r>
    </w:p>
  </w:endnote>
  <w:endnote w:type="continuationSeparator" w:id="0">
    <w:p w:rsidR="00B57667" w:rsidRDefault="00B576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684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667" w:rsidRDefault="00B57667" w:rsidP="00DA0365">
      <w:pPr>
        <w:spacing w:after="0" w:line="240" w:lineRule="auto"/>
      </w:pPr>
      <w:r>
        <w:separator/>
      </w:r>
    </w:p>
  </w:footnote>
  <w:footnote w:type="continuationSeparator" w:id="0">
    <w:p w:rsidR="00B57667" w:rsidRDefault="00B576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684C"/>
    <w:rsid w:val="005879DE"/>
    <w:rsid w:val="005C7F20"/>
    <w:rsid w:val="0072720D"/>
    <w:rsid w:val="008D320C"/>
    <w:rsid w:val="00B5766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346520">
      <w:bodyDiv w:val="1"/>
      <w:marLeft w:val="0"/>
      <w:marRight w:val="0"/>
      <w:marTop w:val="0"/>
      <w:marBottom w:val="0"/>
      <w:divBdr>
        <w:top w:val="none" w:sz="0" w:space="0" w:color="auto"/>
        <w:left w:val="none" w:sz="0" w:space="0" w:color="auto"/>
        <w:bottom w:val="none" w:sz="0" w:space="0" w:color="auto"/>
        <w:right w:val="none" w:sz="0" w:space="0" w:color="auto"/>
      </w:divBdr>
      <w:divsChild>
        <w:div w:id="13055514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2497</Words>
  <Characters>14235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2016-03-25T14:47:00Z</dcterms:created>
  <dcterms:modified xsi:type="dcterms:W3CDTF">2016-03-27T14:14:00Z</dcterms:modified>
</cp:coreProperties>
</file>