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AC" w:rsidRPr="0025333F" w:rsidRDefault="00E141AC" w:rsidP="0025333F">
      <w:pPr>
        <w:spacing w:after="0" w:line="240" w:lineRule="auto"/>
        <w:jc w:val="center"/>
        <w:rPr>
          <w:rFonts w:ascii="Times New Roman" w:eastAsia="Times New Roman" w:hAnsi="Times New Roman" w:cs="Times New Roman"/>
          <w:sz w:val="25"/>
          <w:szCs w:val="25"/>
        </w:rPr>
      </w:pPr>
      <w:bookmarkStart w:id="0" w:name="_GoBack"/>
      <w:bookmarkEnd w:id="0"/>
      <w:r w:rsidRPr="0025333F">
        <w:rPr>
          <w:rFonts w:ascii="Times New Roman" w:eastAsia="Times New Roman" w:hAnsi="Times New Roman" w:cs="Times New Roman"/>
          <w:b/>
          <w:bCs/>
          <w:sz w:val="25"/>
          <w:szCs w:val="25"/>
        </w:rPr>
        <w:t>SUPREME COURT OF INDIA</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Nagar </w:t>
      </w:r>
      <w:proofErr w:type="spellStart"/>
      <w:r w:rsidRPr="0025333F">
        <w:rPr>
          <w:rFonts w:ascii="Times New Roman" w:eastAsia="Times New Roman" w:hAnsi="Times New Roman" w:cs="Times New Roman"/>
          <w:sz w:val="25"/>
          <w:szCs w:val="25"/>
        </w:rPr>
        <w:t>Palika</w:t>
      </w:r>
      <w:proofErr w:type="spellEnd"/>
      <w:r w:rsidRPr="0025333F">
        <w:rPr>
          <w:rFonts w:ascii="Times New Roman" w:eastAsia="Times New Roman" w:hAnsi="Times New Roman" w:cs="Times New Roman"/>
          <w:sz w:val="25"/>
          <w:szCs w:val="25"/>
        </w:rPr>
        <w:t xml:space="preserve"> Nigam</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Vs.</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proofErr w:type="spellStart"/>
      <w:r w:rsidRPr="0025333F">
        <w:rPr>
          <w:rFonts w:ascii="Times New Roman" w:eastAsia="Times New Roman" w:hAnsi="Times New Roman" w:cs="Times New Roman"/>
          <w:sz w:val="25"/>
          <w:szCs w:val="25"/>
        </w:rPr>
        <w:t>Krishi</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Upaj</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Mandi</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Samiti</w:t>
      </w:r>
      <w:proofErr w:type="spellEnd"/>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C</w:t>
      </w:r>
      <w:r w:rsidR="0025333F">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A</w:t>
      </w:r>
      <w:r w:rsidR="0025333F">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No.1921 of 2006</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proofErr w:type="gramStart"/>
      <w:r w:rsidRPr="0025333F">
        <w:rPr>
          <w:rFonts w:ascii="Times New Roman" w:eastAsia="Times New Roman" w:hAnsi="Times New Roman" w:cs="Times New Roman"/>
          <w:sz w:val="25"/>
          <w:szCs w:val="25"/>
        </w:rPr>
        <w:t xml:space="preserve">(Dr. </w:t>
      </w:r>
      <w:proofErr w:type="spellStart"/>
      <w:r w:rsidRPr="0025333F">
        <w:rPr>
          <w:rFonts w:ascii="Times New Roman" w:eastAsia="Times New Roman" w:hAnsi="Times New Roman" w:cs="Times New Roman"/>
          <w:sz w:val="25"/>
          <w:szCs w:val="25"/>
        </w:rPr>
        <w:t>Arijit</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Pasayat</w:t>
      </w:r>
      <w:proofErr w:type="spellEnd"/>
      <w:r w:rsidRPr="0025333F">
        <w:rPr>
          <w:rFonts w:ascii="Times New Roman" w:eastAsia="Times New Roman" w:hAnsi="Times New Roman" w:cs="Times New Roman"/>
          <w:sz w:val="25"/>
          <w:szCs w:val="25"/>
        </w:rPr>
        <w:t xml:space="preserve">, P. </w:t>
      </w:r>
      <w:proofErr w:type="spellStart"/>
      <w:r w:rsidRPr="0025333F">
        <w:rPr>
          <w:rFonts w:ascii="Times New Roman" w:eastAsia="Times New Roman" w:hAnsi="Times New Roman" w:cs="Times New Roman"/>
          <w:sz w:val="25"/>
          <w:szCs w:val="25"/>
        </w:rPr>
        <w:t>Sathasivam</w:t>
      </w:r>
      <w:proofErr w:type="spellEnd"/>
      <w:r w:rsidRPr="0025333F">
        <w:rPr>
          <w:rFonts w:ascii="Times New Roman" w:eastAsia="Times New Roman" w:hAnsi="Times New Roman" w:cs="Times New Roman"/>
          <w:sz w:val="25"/>
          <w:szCs w:val="25"/>
        </w:rPr>
        <w:t xml:space="preserve"> and </w:t>
      </w:r>
      <w:proofErr w:type="spellStart"/>
      <w:r w:rsidRPr="0025333F">
        <w:rPr>
          <w:rFonts w:ascii="Times New Roman" w:eastAsia="Times New Roman" w:hAnsi="Times New Roman" w:cs="Times New Roman"/>
          <w:sz w:val="25"/>
          <w:szCs w:val="25"/>
        </w:rPr>
        <w:t>Aftab</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Alam</w:t>
      </w:r>
      <w:proofErr w:type="spellEnd"/>
      <w:r w:rsidR="0025333F">
        <w:rPr>
          <w:rFonts w:ascii="Times New Roman" w:eastAsia="Times New Roman" w:hAnsi="Times New Roman" w:cs="Times New Roman"/>
          <w:sz w:val="25"/>
          <w:szCs w:val="25"/>
        </w:rPr>
        <w:t xml:space="preserve"> JJ.</w:t>
      </w:r>
      <w:r w:rsidRPr="0025333F">
        <w:rPr>
          <w:rFonts w:ascii="Times New Roman" w:eastAsia="Times New Roman" w:hAnsi="Times New Roman" w:cs="Times New Roman"/>
          <w:sz w:val="25"/>
          <w:szCs w:val="25"/>
        </w:rPr>
        <w:t>)</w:t>
      </w:r>
      <w:proofErr w:type="gramEnd"/>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14</w:t>
      </w:r>
      <w:r w:rsidR="0025333F">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10</w:t>
      </w:r>
      <w:r w:rsidR="0025333F">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2008</w:t>
      </w:r>
    </w:p>
    <w:p w:rsidR="00E141AC" w:rsidRPr="0025333F" w:rsidRDefault="00E141AC" w:rsidP="0025333F">
      <w:pPr>
        <w:spacing w:after="0" w:line="240" w:lineRule="auto"/>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center"/>
        <w:rPr>
          <w:rFonts w:ascii="Times New Roman" w:eastAsia="Times New Roman" w:hAnsi="Times New Roman" w:cs="Times New Roman"/>
          <w:sz w:val="25"/>
          <w:szCs w:val="25"/>
        </w:rPr>
      </w:pPr>
      <w:r w:rsidRPr="0025333F">
        <w:rPr>
          <w:rFonts w:ascii="Times New Roman" w:eastAsia="Times New Roman" w:hAnsi="Times New Roman" w:cs="Times New Roman"/>
          <w:b/>
          <w:bCs/>
          <w:sz w:val="25"/>
          <w:szCs w:val="25"/>
        </w:rPr>
        <w:t>JUDGMENT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b/>
          <w:bCs/>
          <w:sz w:val="25"/>
          <w:szCs w:val="25"/>
        </w:rPr>
        <w:t xml:space="preserve">Dr. </w:t>
      </w:r>
      <w:proofErr w:type="spellStart"/>
      <w:r w:rsidR="0025333F" w:rsidRPr="0025333F">
        <w:rPr>
          <w:rFonts w:ascii="Times New Roman" w:eastAsia="Times New Roman" w:hAnsi="Times New Roman" w:cs="Times New Roman"/>
          <w:b/>
          <w:bCs/>
          <w:sz w:val="25"/>
          <w:szCs w:val="25"/>
        </w:rPr>
        <w:t>Arijit</w:t>
      </w:r>
      <w:proofErr w:type="spellEnd"/>
      <w:r w:rsidR="0025333F" w:rsidRPr="0025333F">
        <w:rPr>
          <w:rFonts w:ascii="Times New Roman" w:eastAsia="Times New Roman" w:hAnsi="Times New Roman" w:cs="Times New Roman"/>
          <w:b/>
          <w:bCs/>
          <w:sz w:val="25"/>
          <w:szCs w:val="25"/>
        </w:rPr>
        <w:t xml:space="preserve"> </w:t>
      </w:r>
      <w:proofErr w:type="spellStart"/>
      <w:r w:rsidR="0025333F" w:rsidRPr="0025333F">
        <w:rPr>
          <w:rFonts w:ascii="Times New Roman" w:eastAsia="Times New Roman" w:hAnsi="Times New Roman" w:cs="Times New Roman"/>
          <w:b/>
          <w:bCs/>
          <w:sz w:val="25"/>
          <w:szCs w:val="25"/>
        </w:rPr>
        <w:t>Pasayat</w:t>
      </w:r>
      <w:proofErr w:type="spellEnd"/>
      <w:r w:rsidRPr="0025333F">
        <w:rPr>
          <w:rFonts w:ascii="Times New Roman" w:eastAsia="Times New Roman" w:hAnsi="Times New Roman" w:cs="Times New Roman"/>
          <w:b/>
          <w:bCs/>
          <w:sz w:val="25"/>
          <w:szCs w:val="25"/>
        </w:rPr>
        <w:t>, J.</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 A Bench of two learned Judges being of the view that one of the questions which is interlinked with the interpretation of Section 9(3) of </w:t>
      </w:r>
      <w:r w:rsidRPr="00287C00">
        <w:rPr>
          <w:rFonts w:ascii="Times New Roman" w:eastAsia="Times New Roman" w:hAnsi="Times New Roman" w:cs="Times New Roman"/>
          <w:i/>
          <w:sz w:val="25"/>
          <w:szCs w:val="25"/>
        </w:rPr>
        <w:t xml:space="preserve">Madhya Pradesh </w:t>
      </w:r>
      <w:proofErr w:type="spellStart"/>
      <w:r w:rsidRPr="00287C00">
        <w:rPr>
          <w:rFonts w:ascii="Times New Roman" w:eastAsia="Times New Roman" w:hAnsi="Times New Roman" w:cs="Times New Roman"/>
          <w:i/>
          <w:sz w:val="25"/>
          <w:szCs w:val="25"/>
        </w:rPr>
        <w:t>Krishi</w:t>
      </w:r>
      <w:proofErr w:type="spellEnd"/>
      <w:r w:rsidRPr="00287C00">
        <w:rPr>
          <w:rFonts w:ascii="Times New Roman" w:eastAsia="Times New Roman" w:hAnsi="Times New Roman" w:cs="Times New Roman"/>
          <w:i/>
          <w:sz w:val="25"/>
          <w:szCs w:val="25"/>
        </w:rPr>
        <w:t xml:space="preserve"> </w:t>
      </w:r>
      <w:proofErr w:type="spellStart"/>
      <w:r w:rsidRPr="00287C00">
        <w:rPr>
          <w:rFonts w:ascii="Times New Roman" w:eastAsia="Times New Roman" w:hAnsi="Times New Roman" w:cs="Times New Roman"/>
          <w:i/>
          <w:sz w:val="25"/>
          <w:szCs w:val="25"/>
        </w:rPr>
        <w:t>Upaj</w:t>
      </w:r>
      <w:proofErr w:type="spellEnd"/>
      <w:r w:rsidRPr="00287C00">
        <w:rPr>
          <w:rFonts w:ascii="Times New Roman" w:eastAsia="Times New Roman" w:hAnsi="Times New Roman" w:cs="Times New Roman"/>
          <w:i/>
          <w:sz w:val="25"/>
          <w:szCs w:val="25"/>
        </w:rPr>
        <w:t xml:space="preserve"> </w:t>
      </w:r>
      <w:proofErr w:type="spellStart"/>
      <w:r w:rsidRPr="00287C00">
        <w:rPr>
          <w:rFonts w:ascii="Times New Roman" w:eastAsia="Times New Roman" w:hAnsi="Times New Roman" w:cs="Times New Roman"/>
          <w:i/>
          <w:sz w:val="25"/>
          <w:szCs w:val="25"/>
        </w:rPr>
        <w:t>Mandi</w:t>
      </w:r>
      <w:proofErr w:type="spellEnd"/>
      <w:r w:rsidRPr="00287C00">
        <w:rPr>
          <w:rFonts w:ascii="Times New Roman" w:eastAsia="Times New Roman" w:hAnsi="Times New Roman" w:cs="Times New Roman"/>
          <w:i/>
          <w:sz w:val="25"/>
          <w:szCs w:val="25"/>
        </w:rPr>
        <w:t xml:space="preserve"> </w:t>
      </w:r>
      <w:proofErr w:type="spellStart"/>
      <w:r w:rsidRPr="00287C00">
        <w:rPr>
          <w:rFonts w:ascii="Times New Roman" w:eastAsia="Times New Roman" w:hAnsi="Times New Roman" w:cs="Times New Roman"/>
          <w:i/>
          <w:sz w:val="25"/>
          <w:szCs w:val="25"/>
        </w:rPr>
        <w:t>Adhiniyam</w:t>
      </w:r>
      <w:proofErr w:type="spellEnd"/>
      <w:r w:rsidRPr="00287C00">
        <w:rPr>
          <w:rFonts w:ascii="Times New Roman" w:eastAsia="Times New Roman" w:hAnsi="Times New Roman" w:cs="Times New Roman"/>
          <w:i/>
          <w:sz w:val="25"/>
          <w:szCs w:val="25"/>
        </w:rPr>
        <w:t>, 1972</w:t>
      </w:r>
      <w:r w:rsidRPr="0025333F">
        <w:rPr>
          <w:rFonts w:ascii="Times New Roman" w:eastAsia="Times New Roman" w:hAnsi="Times New Roman" w:cs="Times New Roman"/>
          <w:sz w:val="25"/>
          <w:szCs w:val="25"/>
        </w:rPr>
        <w:t xml:space="preserve"> (in short the `</w:t>
      </w:r>
      <w:proofErr w:type="spellStart"/>
      <w:r w:rsidRPr="0025333F">
        <w:rPr>
          <w:rFonts w:ascii="Times New Roman" w:eastAsia="Times New Roman" w:hAnsi="Times New Roman" w:cs="Times New Roman"/>
          <w:sz w:val="25"/>
          <w:szCs w:val="25"/>
        </w:rPr>
        <w:t>Adhiniyam</w:t>
      </w:r>
      <w:proofErr w:type="spellEnd"/>
      <w:r w:rsidRPr="0025333F">
        <w:rPr>
          <w:rFonts w:ascii="Times New Roman" w:eastAsia="Times New Roman" w:hAnsi="Times New Roman" w:cs="Times New Roman"/>
          <w:sz w:val="25"/>
          <w:szCs w:val="25"/>
        </w:rPr>
        <w:t>') would be whether having regard to the provisions contained in Part IXA of the Constitution of India, 1950 (in short the `Constitution') the Legislature of the State of M.P. had the requisite legislative competence therefor. Respondent No.1 filed a writ petition before the Madhya Pradesh High Court under Article 226 of the Constitution with basically two prayers. They are as under:</w:t>
      </w:r>
    </w:p>
    <w:p w:rsidR="0025333F" w:rsidRDefault="0025333F" w:rsidP="0025333F">
      <w:pPr>
        <w:spacing w:after="0" w:line="240" w:lineRule="auto"/>
        <w:jc w:val="both"/>
        <w:rPr>
          <w:rFonts w:ascii="Times New Roman" w:eastAsia="Times New Roman" w:hAnsi="Times New Roman" w:cs="Times New Roman"/>
          <w:sz w:val="25"/>
          <w:szCs w:val="25"/>
        </w:rPr>
      </w:pPr>
    </w:p>
    <w:p w:rsidR="00E141AC" w:rsidRPr="0025333F" w:rsidRDefault="00E141AC" w:rsidP="00287C00">
      <w:pPr>
        <w:spacing w:after="0" w:line="240" w:lineRule="auto"/>
        <w:ind w:left="720"/>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 The respondent No.1-Municipal Corporation, </w:t>
      </w:r>
      <w:proofErr w:type="spellStart"/>
      <w:r w:rsidRPr="0025333F">
        <w:rPr>
          <w:rFonts w:ascii="Times New Roman" w:eastAsia="Times New Roman" w:hAnsi="Times New Roman" w:cs="Times New Roman"/>
          <w:sz w:val="25"/>
          <w:szCs w:val="25"/>
        </w:rPr>
        <w:t>Ratlam</w:t>
      </w:r>
      <w:proofErr w:type="spellEnd"/>
      <w:r w:rsidRPr="0025333F">
        <w:rPr>
          <w:rFonts w:ascii="Times New Roman" w:eastAsia="Times New Roman" w:hAnsi="Times New Roman" w:cs="Times New Roman"/>
          <w:sz w:val="25"/>
          <w:szCs w:val="25"/>
        </w:rPr>
        <w:t xml:space="preserve"> has no jurisdiction or right to claim the property tax from the petitioner for the building and the superstructure constructed in the Market Yard within the area of Municipal Corporation, </w:t>
      </w:r>
      <w:proofErr w:type="spellStart"/>
      <w:r w:rsidRPr="0025333F">
        <w:rPr>
          <w:rFonts w:ascii="Times New Roman" w:eastAsia="Times New Roman" w:hAnsi="Times New Roman" w:cs="Times New Roman"/>
          <w:sz w:val="25"/>
          <w:szCs w:val="25"/>
        </w:rPr>
        <w:t>Ratlam</w:t>
      </w:r>
      <w:proofErr w:type="spellEnd"/>
      <w:r w:rsidRPr="0025333F">
        <w:rPr>
          <w:rFonts w:ascii="Times New Roman" w:eastAsia="Times New Roman" w:hAnsi="Times New Roman" w:cs="Times New Roman"/>
          <w:sz w:val="25"/>
          <w:szCs w:val="25"/>
        </w:rPr>
        <w:t xml:space="preserve">. </w:t>
      </w:r>
    </w:p>
    <w:p w:rsidR="00E141AC" w:rsidRPr="0025333F" w:rsidRDefault="00E141AC" w:rsidP="00287C00">
      <w:pPr>
        <w:spacing w:after="0" w:line="240" w:lineRule="auto"/>
        <w:ind w:left="720"/>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87C00">
      <w:pPr>
        <w:spacing w:after="0" w:line="240" w:lineRule="auto"/>
        <w:ind w:left="720"/>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 (2) That the amount of Rs.70</w:t>
      </w:r>
      <w:proofErr w:type="gramStart"/>
      <w:r w:rsidRPr="0025333F">
        <w:rPr>
          <w:rFonts w:ascii="Times New Roman" w:eastAsia="Times New Roman" w:hAnsi="Times New Roman" w:cs="Times New Roman"/>
          <w:sz w:val="25"/>
          <w:szCs w:val="25"/>
        </w:rPr>
        <w:t>,000</w:t>
      </w:r>
      <w:proofErr w:type="gramEnd"/>
      <w:r w:rsidRPr="0025333F">
        <w:rPr>
          <w:rFonts w:ascii="Times New Roman" w:eastAsia="Times New Roman" w:hAnsi="Times New Roman" w:cs="Times New Roman"/>
          <w:sz w:val="25"/>
          <w:szCs w:val="25"/>
        </w:rPr>
        <w:t>/- which has been deposited by the petitioner with respondent No.1 pursuant to the notice and auction proceedings initiated against the petitioner should be directed to be refunded to the petitioner. Interest on the said amount is also being claimed."</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2. With reference to Section 9(3) of the </w:t>
      </w:r>
      <w:proofErr w:type="spellStart"/>
      <w:r w:rsidRPr="0025333F">
        <w:rPr>
          <w:rFonts w:ascii="Times New Roman" w:eastAsia="Times New Roman" w:hAnsi="Times New Roman" w:cs="Times New Roman"/>
          <w:sz w:val="25"/>
          <w:szCs w:val="25"/>
        </w:rPr>
        <w:t>Adhiniyam</w:t>
      </w:r>
      <w:proofErr w:type="spellEnd"/>
      <w:r w:rsidRPr="0025333F">
        <w:rPr>
          <w:rFonts w:ascii="Times New Roman" w:eastAsia="Times New Roman" w:hAnsi="Times New Roman" w:cs="Times New Roman"/>
          <w:sz w:val="25"/>
          <w:szCs w:val="25"/>
        </w:rPr>
        <w:t xml:space="preserve"> it was submitted that exemption had been provided on the property on which no property tax could be levied even if the same falls within the area of Municipal Corporation, Municipal Council, Notified Area, Gram </w:t>
      </w:r>
      <w:proofErr w:type="spellStart"/>
      <w:r w:rsidRPr="0025333F">
        <w:rPr>
          <w:rFonts w:ascii="Times New Roman" w:eastAsia="Times New Roman" w:hAnsi="Times New Roman" w:cs="Times New Roman"/>
          <w:sz w:val="25"/>
          <w:szCs w:val="25"/>
        </w:rPr>
        <w:t>Panchayat</w:t>
      </w:r>
      <w:proofErr w:type="spellEnd"/>
      <w:r w:rsidRPr="0025333F">
        <w:rPr>
          <w:rFonts w:ascii="Times New Roman" w:eastAsia="Times New Roman" w:hAnsi="Times New Roman" w:cs="Times New Roman"/>
          <w:sz w:val="25"/>
          <w:szCs w:val="25"/>
        </w:rPr>
        <w:t xml:space="preserve"> or a Special Area Development Authority. Learned Single Judge accepted the first prayer, but permitted the respondent-writ petitioner to avail such remedy as is available by filing a civil suit in respect of second prayer.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3.  Review petition was filed by the present appellant </w:t>
      </w:r>
      <w:proofErr w:type="gramStart"/>
      <w:r w:rsidRPr="0025333F">
        <w:rPr>
          <w:rFonts w:ascii="Times New Roman" w:eastAsia="Times New Roman" w:hAnsi="Times New Roman" w:cs="Times New Roman"/>
          <w:sz w:val="25"/>
          <w:szCs w:val="25"/>
        </w:rPr>
        <w:t>which</w:t>
      </w:r>
      <w:proofErr w:type="gramEnd"/>
      <w:r w:rsidRPr="0025333F">
        <w:rPr>
          <w:rFonts w:ascii="Times New Roman" w:eastAsia="Times New Roman" w:hAnsi="Times New Roman" w:cs="Times New Roman"/>
          <w:sz w:val="25"/>
          <w:szCs w:val="25"/>
        </w:rPr>
        <w:t xml:space="preserve"> was dismissed. A Letters Patent Appeal was also filed, which was dismissed on the ground that the same was not </w:t>
      </w:r>
      <w:r w:rsidRPr="0025333F">
        <w:rPr>
          <w:rFonts w:ascii="Times New Roman" w:eastAsia="Times New Roman" w:hAnsi="Times New Roman" w:cs="Times New Roman"/>
          <w:sz w:val="25"/>
          <w:szCs w:val="25"/>
        </w:rPr>
        <w:lastRenderedPageBreak/>
        <w:t>maintainable against an order passed in the review petition. The appeal was also without merit.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4. The basic stand in the appeal was whether the Corporation had jurisdiction and authority to assess and recover the property tax from respondent No.1 for the buildings, superstructure constructed in the market yard within the area of Municipal Corporation, </w:t>
      </w:r>
      <w:proofErr w:type="spellStart"/>
      <w:r w:rsidRPr="0025333F">
        <w:rPr>
          <w:rFonts w:ascii="Times New Roman" w:eastAsia="Times New Roman" w:hAnsi="Times New Roman" w:cs="Times New Roman"/>
          <w:sz w:val="25"/>
          <w:szCs w:val="25"/>
        </w:rPr>
        <w:t>Ratlam</w:t>
      </w:r>
      <w:proofErr w:type="spellEnd"/>
      <w:r w:rsidRPr="0025333F">
        <w:rPr>
          <w:rFonts w:ascii="Times New Roman" w:eastAsia="Times New Roman" w:hAnsi="Times New Roman" w:cs="Times New Roman"/>
          <w:sz w:val="25"/>
          <w:szCs w:val="25"/>
        </w:rPr>
        <w:t>.</w:t>
      </w:r>
    </w:p>
    <w:p w:rsidR="00287C00" w:rsidRDefault="00287C00" w:rsidP="0025333F">
      <w:pPr>
        <w:spacing w:after="0" w:line="240" w:lineRule="auto"/>
        <w:jc w:val="both"/>
        <w:rPr>
          <w:rFonts w:ascii="Times New Roman" w:eastAsia="Times New Roman" w:hAnsi="Times New Roman" w:cs="Times New Roman"/>
          <w:sz w:val="25"/>
          <w:szCs w:val="25"/>
        </w:rPr>
      </w:pP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5. During the course of hearing of the appeal, learned counsel for the appellant fairly accepted that there was no challenge to the proviso appended to sub-section (3) of Section 9 of the </w:t>
      </w:r>
      <w:proofErr w:type="spellStart"/>
      <w:r w:rsidRPr="0025333F">
        <w:rPr>
          <w:rFonts w:ascii="Times New Roman" w:eastAsia="Times New Roman" w:hAnsi="Times New Roman" w:cs="Times New Roman"/>
          <w:sz w:val="25"/>
          <w:szCs w:val="25"/>
        </w:rPr>
        <w:t>Adhiniyam</w:t>
      </w:r>
      <w:proofErr w:type="spellEnd"/>
      <w:r w:rsidRPr="0025333F">
        <w:rPr>
          <w:rFonts w:ascii="Times New Roman" w:eastAsia="Times New Roman" w:hAnsi="Times New Roman" w:cs="Times New Roman"/>
          <w:sz w:val="25"/>
          <w:szCs w:val="25"/>
        </w:rPr>
        <w:t xml:space="preserve">. It is also fairly accepted that the proviso casts out an exception.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6. Learned counsel for the respondents on the other hand submitted that in the absence of a challenge to the legality of the proviso, there is no question of adjudicating the issue which the reference Bench has considered to be of importance.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7. Section 9(3) of the </w:t>
      </w:r>
      <w:proofErr w:type="spellStart"/>
      <w:r w:rsidRPr="0025333F">
        <w:rPr>
          <w:rFonts w:ascii="Times New Roman" w:eastAsia="Times New Roman" w:hAnsi="Times New Roman" w:cs="Times New Roman"/>
          <w:sz w:val="25"/>
          <w:szCs w:val="25"/>
        </w:rPr>
        <w:t>Adhiniyam</w:t>
      </w:r>
      <w:proofErr w:type="spellEnd"/>
      <w:r w:rsidRPr="0025333F">
        <w:rPr>
          <w:rFonts w:ascii="Times New Roman" w:eastAsia="Times New Roman" w:hAnsi="Times New Roman" w:cs="Times New Roman"/>
          <w:sz w:val="25"/>
          <w:szCs w:val="25"/>
        </w:rPr>
        <w:t xml:space="preserve"> so far as relevant reads as under: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Default="00E141AC" w:rsidP="00287C00">
      <w:pPr>
        <w:spacing w:after="0" w:line="240" w:lineRule="auto"/>
        <w:ind w:left="720"/>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"(3) Nothing contained in the Madhya Pradesh Land Revenue Code, 1959 (No.20 of 1959), and rules made thereunder in so far as they relate to diversion of land, revision of land revenue consequent on the change in the use of land from agriculture to any other purpose and other matters incidental thereto shall apply to land acquired by the market committee under sub- section (1) or acquired by transfer, purchase gift or otherwise and use for the purpose of establishment of a market yard or a sub-market yard: Provided that the premises used for market yard, sub-market yard or for the purpose of the Board shall not be deemed to be included in the limits of the Municipal Corporation, Municipal Council, Notified Area, Gram </w:t>
      </w:r>
      <w:proofErr w:type="spellStart"/>
      <w:r w:rsidRPr="0025333F">
        <w:rPr>
          <w:rFonts w:ascii="Times New Roman" w:eastAsia="Times New Roman" w:hAnsi="Times New Roman" w:cs="Times New Roman"/>
          <w:sz w:val="25"/>
          <w:szCs w:val="25"/>
        </w:rPr>
        <w:t>Panchayat</w:t>
      </w:r>
      <w:proofErr w:type="spellEnd"/>
      <w:r w:rsidRPr="0025333F">
        <w:rPr>
          <w:rFonts w:ascii="Times New Roman" w:eastAsia="Times New Roman" w:hAnsi="Times New Roman" w:cs="Times New Roman"/>
          <w:sz w:val="25"/>
          <w:szCs w:val="25"/>
        </w:rPr>
        <w:t xml:space="preserve"> or a Special Area Development Authority, as the case may be."</w:t>
      </w:r>
    </w:p>
    <w:p w:rsidR="00287C00" w:rsidRPr="0025333F" w:rsidRDefault="00287C00" w:rsidP="0025333F">
      <w:pPr>
        <w:spacing w:after="0" w:line="240" w:lineRule="auto"/>
        <w:jc w:val="both"/>
        <w:rPr>
          <w:rFonts w:ascii="Times New Roman" w:eastAsia="Times New Roman" w:hAnsi="Times New Roman" w:cs="Times New Roman"/>
          <w:sz w:val="25"/>
          <w:szCs w:val="25"/>
        </w:rPr>
      </w:pP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8.    The normal function of a proviso is to except something out of the enactment or to qualify something enacted therein which but for the proviso would be within the purview of the enactment. As was stated in </w:t>
      </w:r>
      <w:r w:rsidRPr="00287C00">
        <w:rPr>
          <w:rFonts w:ascii="Times New Roman" w:eastAsia="Times New Roman" w:hAnsi="Times New Roman" w:cs="Times New Roman"/>
          <w:i/>
          <w:sz w:val="25"/>
          <w:szCs w:val="25"/>
        </w:rPr>
        <w:t>Mullins v. Treasurer of Survey</w:t>
      </w:r>
      <w:r w:rsidR="00287C00" w:rsidRPr="00287C00">
        <w:rPr>
          <w:rFonts w:ascii="Times New Roman" w:eastAsia="Times New Roman" w:hAnsi="Times New Roman" w:cs="Times New Roman"/>
          <w:i/>
          <w:sz w:val="25"/>
          <w:szCs w:val="25"/>
          <w:vertAlign w:val="superscript"/>
        </w:rPr>
        <w:t>1</w:t>
      </w:r>
      <w:r w:rsidRPr="0025333F">
        <w:rPr>
          <w:rFonts w:ascii="Times New Roman" w:eastAsia="Times New Roman" w:hAnsi="Times New Roman" w:cs="Times New Roman"/>
          <w:sz w:val="25"/>
          <w:szCs w:val="25"/>
        </w:rPr>
        <w:t xml:space="preserve">, (referred to in </w:t>
      </w:r>
      <w:r w:rsidRPr="00513CC1">
        <w:rPr>
          <w:rFonts w:ascii="Times New Roman" w:eastAsia="Times New Roman" w:hAnsi="Times New Roman" w:cs="Times New Roman"/>
          <w:i/>
          <w:sz w:val="25"/>
          <w:szCs w:val="25"/>
        </w:rPr>
        <w:t xml:space="preserve">Shah </w:t>
      </w:r>
      <w:proofErr w:type="spellStart"/>
      <w:r w:rsidRPr="00513CC1">
        <w:rPr>
          <w:rFonts w:ascii="Times New Roman" w:eastAsia="Times New Roman" w:hAnsi="Times New Roman" w:cs="Times New Roman"/>
          <w:i/>
          <w:sz w:val="25"/>
          <w:szCs w:val="25"/>
        </w:rPr>
        <w:t>Bhojraj</w:t>
      </w:r>
      <w:proofErr w:type="spell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Kuverji</w:t>
      </w:r>
      <w:proofErr w:type="spellEnd"/>
      <w:r w:rsidRPr="00513CC1">
        <w:rPr>
          <w:rFonts w:ascii="Times New Roman" w:eastAsia="Times New Roman" w:hAnsi="Times New Roman" w:cs="Times New Roman"/>
          <w:i/>
          <w:sz w:val="25"/>
          <w:szCs w:val="25"/>
        </w:rPr>
        <w:t xml:space="preserve"> Oil Mills and Ginning Factory v. </w:t>
      </w:r>
      <w:proofErr w:type="spellStart"/>
      <w:r w:rsidRPr="00513CC1">
        <w:rPr>
          <w:rFonts w:ascii="Times New Roman" w:eastAsia="Times New Roman" w:hAnsi="Times New Roman" w:cs="Times New Roman"/>
          <w:i/>
          <w:sz w:val="25"/>
          <w:szCs w:val="25"/>
        </w:rPr>
        <w:t>Subhash</w:t>
      </w:r>
      <w:proofErr w:type="spellEnd"/>
      <w:r w:rsidRPr="00513CC1">
        <w:rPr>
          <w:rFonts w:ascii="Times New Roman" w:eastAsia="Times New Roman" w:hAnsi="Times New Roman" w:cs="Times New Roman"/>
          <w:i/>
          <w:sz w:val="25"/>
          <w:szCs w:val="25"/>
        </w:rPr>
        <w:t xml:space="preserve"> Chandra </w:t>
      </w:r>
      <w:proofErr w:type="spellStart"/>
      <w:r w:rsidRPr="00513CC1">
        <w:rPr>
          <w:rFonts w:ascii="Times New Roman" w:eastAsia="Times New Roman" w:hAnsi="Times New Roman" w:cs="Times New Roman"/>
          <w:i/>
          <w:sz w:val="25"/>
          <w:szCs w:val="25"/>
        </w:rPr>
        <w:t>Yograj</w:t>
      </w:r>
      <w:proofErr w:type="spellEnd"/>
      <w:r w:rsidRPr="00513CC1">
        <w:rPr>
          <w:rFonts w:ascii="Times New Roman" w:eastAsia="Times New Roman" w:hAnsi="Times New Roman" w:cs="Times New Roman"/>
          <w:i/>
          <w:sz w:val="25"/>
          <w:szCs w:val="25"/>
        </w:rPr>
        <w:t xml:space="preserve"> Sinha</w:t>
      </w:r>
      <w:r w:rsidR="00513CC1" w:rsidRPr="00513CC1">
        <w:rPr>
          <w:rFonts w:ascii="Times New Roman" w:eastAsia="Times New Roman" w:hAnsi="Times New Roman" w:cs="Times New Roman"/>
          <w:i/>
          <w:sz w:val="25"/>
          <w:szCs w:val="25"/>
          <w:vertAlign w:val="superscript"/>
        </w:rPr>
        <w:t>2</w:t>
      </w:r>
      <w:r w:rsidRPr="0025333F">
        <w:rPr>
          <w:rFonts w:ascii="Times New Roman" w:eastAsia="Times New Roman" w:hAnsi="Times New Roman" w:cs="Times New Roman"/>
          <w:sz w:val="25"/>
          <w:szCs w:val="25"/>
        </w:rPr>
        <w:t xml:space="preserve"> </w:t>
      </w:r>
      <w:r w:rsidRPr="00513CC1">
        <w:rPr>
          <w:rFonts w:ascii="Times New Roman" w:eastAsia="Times New Roman" w:hAnsi="Times New Roman" w:cs="Times New Roman"/>
          <w:i/>
          <w:sz w:val="25"/>
          <w:szCs w:val="25"/>
        </w:rPr>
        <w:t>and Calcutta Tramways Co. Ltd. v. Corporation of Calcutta</w:t>
      </w:r>
      <w:r w:rsidR="00513CC1" w:rsidRPr="00513CC1">
        <w:rPr>
          <w:rFonts w:ascii="Times New Roman" w:eastAsia="Times New Roman" w:hAnsi="Times New Roman" w:cs="Times New Roman"/>
          <w:i/>
          <w:sz w:val="25"/>
          <w:szCs w:val="25"/>
          <w:vertAlign w:val="superscript"/>
        </w:rPr>
        <w:t>3</w:t>
      </w:r>
      <w:r w:rsidRPr="0025333F">
        <w:rPr>
          <w:rFonts w:ascii="Times New Roman" w:eastAsia="Times New Roman" w:hAnsi="Times New Roman" w:cs="Times New Roman"/>
          <w:sz w:val="25"/>
          <w:szCs w:val="25"/>
        </w:rPr>
        <w:t xml:space="preserve">; when one finds a proviso to a section the natural presumption is that, but for the proviso, the enacting part of the section would have included the subject matter of the proviso. The proper function of a proviso is to except and to deal with a case which would otherwise fall within the general language of the main enactment and its effect is confined to that case. It is a qualification of the preceding enactment which is expressed in terms too general to be quite accurate. As a general rule, a proviso is added to an enactment to qualify or create an exception to what is in the enactment and ordinarily, a proviso is not interpreted as stating a general rule. "If the language of the enacting part of the statute does not contain the provisions which are said to occur in it you cannot derive these provisions by implication from a proviso." </w:t>
      </w:r>
      <w:proofErr w:type="gramStart"/>
      <w:r w:rsidRPr="0025333F">
        <w:rPr>
          <w:rFonts w:ascii="Times New Roman" w:eastAsia="Times New Roman" w:hAnsi="Times New Roman" w:cs="Times New Roman"/>
          <w:sz w:val="25"/>
          <w:szCs w:val="25"/>
        </w:rPr>
        <w:t xml:space="preserve">Said Lord Watson in </w:t>
      </w:r>
      <w:r w:rsidRPr="00513CC1">
        <w:rPr>
          <w:rFonts w:ascii="Times New Roman" w:eastAsia="Times New Roman" w:hAnsi="Times New Roman" w:cs="Times New Roman"/>
          <w:i/>
          <w:sz w:val="25"/>
          <w:szCs w:val="25"/>
        </w:rPr>
        <w:t>West Derby Union v. Metropolitan Life Assurance Co.</w:t>
      </w:r>
      <w:r w:rsidR="00513CC1" w:rsidRPr="00513CC1">
        <w:rPr>
          <w:rFonts w:ascii="Times New Roman" w:eastAsia="Times New Roman" w:hAnsi="Times New Roman" w:cs="Times New Roman"/>
          <w:i/>
          <w:sz w:val="25"/>
          <w:szCs w:val="25"/>
          <w:vertAlign w:val="superscript"/>
        </w:rPr>
        <w:t>4</w:t>
      </w:r>
      <w:r w:rsidRPr="0025333F">
        <w:rPr>
          <w:rFonts w:ascii="Times New Roman" w:eastAsia="Times New Roman" w:hAnsi="Times New Roman" w:cs="Times New Roman"/>
          <w:sz w:val="25"/>
          <w:szCs w:val="25"/>
        </w:rPr>
        <w:t>.</w:t>
      </w:r>
      <w:proofErr w:type="gramEnd"/>
      <w:r w:rsidRPr="0025333F">
        <w:rPr>
          <w:rFonts w:ascii="Times New Roman" w:eastAsia="Times New Roman" w:hAnsi="Times New Roman" w:cs="Times New Roman"/>
          <w:sz w:val="25"/>
          <w:szCs w:val="25"/>
        </w:rPr>
        <w:t xml:space="preserve"> Normally, a proviso does not travel beyond the provision to which it is a proviso. It carves out an exception to the main provision to which it has been enacted as a proviso and to no other. (See </w:t>
      </w:r>
      <w:r w:rsidRPr="00513CC1">
        <w:rPr>
          <w:rFonts w:ascii="Times New Roman" w:eastAsia="Times New Roman" w:hAnsi="Times New Roman" w:cs="Times New Roman"/>
          <w:i/>
          <w:sz w:val="25"/>
          <w:szCs w:val="25"/>
        </w:rPr>
        <w:t xml:space="preserve">A.N. </w:t>
      </w:r>
      <w:proofErr w:type="spellStart"/>
      <w:r w:rsidRPr="00513CC1">
        <w:rPr>
          <w:rFonts w:ascii="Times New Roman" w:eastAsia="Times New Roman" w:hAnsi="Times New Roman" w:cs="Times New Roman"/>
          <w:i/>
          <w:sz w:val="25"/>
          <w:szCs w:val="25"/>
        </w:rPr>
        <w:t>Sehgal</w:t>
      </w:r>
      <w:proofErr w:type="spellEnd"/>
      <w:r w:rsidRPr="00513CC1">
        <w:rPr>
          <w:rFonts w:ascii="Times New Roman" w:eastAsia="Times New Roman" w:hAnsi="Times New Roman" w:cs="Times New Roman"/>
          <w:i/>
          <w:sz w:val="25"/>
          <w:szCs w:val="25"/>
        </w:rPr>
        <w:t xml:space="preserve">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v. </w:t>
      </w:r>
      <w:proofErr w:type="spellStart"/>
      <w:r w:rsidRPr="00513CC1">
        <w:rPr>
          <w:rFonts w:ascii="Times New Roman" w:eastAsia="Times New Roman" w:hAnsi="Times New Roman" w:cs="Times New Roman"/>
          <w:i/>
          <w:sz w:val="25"/>
          <w:szCs w:val="25"/>
        </w:rPr>
        <w:t>Raje</w:t>
      </w:r>
      <w:proofErr w:type="spellEnd"/>
      <w:r w:rsidRPr="00513CC1">
        <w:rPr>
          <w:rFonts w:ascii="Times New Roman" w:eastAsia="Times New Roman" w:hAnsi="Times New Roman" w:cs="Times New Roman"/>
          <w:i/>
          <w:sz w:val="25"/>
          <w:szCs w:val="25"/>
        </w:rPr>
        <w:t xml:space="preserve"> </w:t>
      </w:r>
      <w:r w:rsidRPr="00513CC1">
        <w:rPr>
          <w:rFonts w:ascii="Times New Roman" w:eastAsia="Times New Roman" w:hAnsi="Times New Roman" w:cs="Times New Roman"/>
          <w:i/>
          <w:sz w:val="25"/>
          <w:szCs w:val="25"/>
        </w:rPr>
        <w:lastRenderedPageBreak/>
        <w:t xml:space="preserve">Ram </w:t>
      </w:r>
      <w:proofErr w:type="spellStart"/>
      <w:r w:rsidRPr="00513CC1">
        <w:rPr>
          <w:rFonts w:ascii="Times New Roman" w:eastAsia="Times New Roman" w:hAnsi="Times New Roman" w:cs="Times New Roman"/>
          <w:i/>
          <w:sz w:val="25"/>
          <w:szCs w:val="25"/>
        </w:rPr>
        <w:t>Sheoram</w:t>
      </w:r>
      <w:proofErr w:type="spellEnd"/>
      <w:r w:rsidRPr="00513CC1">
        <w:rPr>
          <w:rFonts w:ascii="Times New Roman" w:eastAsia="Times New Roman" w:hAnsi="Times New Roman" w:cs="Times New Roman"/>
          <w:i/>
          <w:sz w:val="25"/>
          <w:szCs w:val="25"/>
        </w:rPr>
        <w:t xml:space="preserve"> and Ors.</w:t>
      </w:r>
      <w:r w:rsidR="00513CC1" w:rsidRPr="00513CC1">
        <w:rPr>
          <w:rFonts w:ascii="Times New Roman" w:eastAsia="Times New Roman" w:hAnsi="Times New Roman" w:cs="Times New Roman"/>
          <w:i/>
          <w:sz w:val="25"/>
          <w:szCs w:val="25"/>
          <w:vertAlign w:val="superscript"/>
        </w:rPr>
        <w:t>5</w:t>
      </w:r>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Tribhovandas</w:t>
      </w:r>
      <w:proofErr w:type="spell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Haribhai</w:t>
      </w:r>
      <w:proofErr w:type="spell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Tamboli</w:t>
      </w:r>
      <w:proofErr w:type="spellEnd"/>
      <w:r w:rsidRPr="00513CC1">
        <w:rPr>
          <w:rFonts w:ascii="Times New Roman" w:eastAsia="Times New Roman" w:hAnsi="Times New Roman" w:cs="Times New Roman"/>
          <w:i/>
          <w:sz w:val="25"/>
          <w:szCs w:val="25"/>
        </w:rPr>
        <w:t xml:space="preserve"> v. Gujarat Revenue Tribunal and Ors.</w:t>
      </w:r>
      <w:r w:rsidR="00513CC1" w:rsidRPr="00513CC1">
        <w:rPr>
          <w:rFonts w:ascii="Times New Roman" w:eastAsia="Times New Roman" w:hAnsi="Times New Roman" w:cs="Times New Roman"/>
          <w:i/>
          <w:sz w:val="25"/>
          <w:szCs w:val="25"/>
          <w:vertAlign w:val="superscript"/>
        </w:rPr>
        <w:t>6</w:t>
      </w:r>
      <w:r w:rsidRPr="00513CC1">
        <w:rPr>
          <w:rFonts w:ascii="Times New Roman" w:eastAsia="Times New Roman" w:hAnsi="Times New Roman" w:cs="Times New Roman"/>
          <w:i/>
          <w:sz w:val="25"/>
          <w:szCs w:val="25"/>
        </w:rPr>
        <w:t xml:space="preserve"> and Kerala State Housing Board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v. </w:t>
      </w:r>
      <w:proofErr w:type="spellStart"/>
      <w:r w:rsidRPr="00513CC1">
        <w:rPr>
          <w:rFonts w:ascii="Times New Roman" w:eastAsia="Times New Roman" w:hAnsi="Times New Roman" w:cs="Times New Roman"/>
          <w:i/>
          <w:sz w:val="25"/>
          <w:szCs w:val="25"/>
        </w:rPr>
        <w:t>Ramapriya</w:t>
      </w:r>
      <w:proofErr w:type="spellEnd"/>
      <w:r w:rsidRPr="00513CC1">
        <w:rPr>
          <w:rFonts w:ascii="Times New Roman" w:eastAsia="Times New Roman" w:hAnsi="Times New Roman" w:cs="Times New Roman"/>
          <w:i/>
          <w:sz w:val="25"/>
          <w:szCs w:val="25"/>
        </w:rPr>
        <w:t xml:space="preserve"> Hotels (P)Ltd. and Ors.</w:t>
      </w:r>
      <w:r w:rsidR="00513CC1" w:rsidRPr="00513CC1">
        <w:rPr>
          <w:rFonts w:ascii="Times New Roman" w:eastAsia="Times New Roman" w:hAnsi="Times New Roman" w:cs="Times New Roman"/>
          <w:i/>
          <w:sz w:val="25"/>
          <w:szCs w:val="25"/>
          <w:vertAlign w:val="superscript"/>
        </w:rPr>
        <w:t>7</w:t>
      </w:r>
      <w:r w:rsidR="00513CC1">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9. "This word (proviso) hath divers operations. Sometime it </w:t>
      </w:r>
      <w:proofErr w:type="spellStart"/>
      <w:r w:rsidRPr="0025333F">
        <w:rPr>
          <w:rFonts w:ascii="Times New Roman" w:eastAsia="Times New Roman" w:hAnsi="Times New Roman" w:cs="Times New Roman"/>
          <w:sz w:val="25"/>
          <w:szCs w:val="25"/>
        </w:rPr>
        <w:t>worketh</w:t>
      </w:r>
      <w:proofErr w:type="spellEnd"/>
      <w:r w:rsidRPr="0025333F">
        <w:rPr>
          <w:rFonts w:ascii="Times New Roman" w:eastAsia="Times New Roman" w:hAnsi="Times New Roman" w:cs="Times New Roman"/>
          <w:sz w:val="25"/>
          <w:szCs w:val="25"/>
        </w:rPr>
        <w:t xml:space="preserve"> a qualification or limitation; sometime a condition; and sometime a covenant" (Coke upon Littleton 18</w:t>
      </w:r>
      <w:r w:rsidRPr="0025333F">
        <w:rPr>
          <w:rFonts w:ascii="Times New Roman" w:eastAsia="Times New Roman" w:hAnsi="Times New Roman" w:cs="Times New Roman"/>
          <w:sz w:val="25"/>
          <w:szCs w:val="25"/>
          <w:vertAlign w:val="superscript"/>
        </w:rPr>
        <w:t>th</w:t>
      </w:r>
      <w:r w:rsidRPr="0025333F">
        <w:rPr>
          <w:rFonts w:ascii="Times New Roman" w:eastAsia="Times New Roman" w:hAnsi="Times New Roman" w:cs="Times New Roman"/>
          <w:sz w:val="25"/>
          <w:szCs w:val="25"/>
        </w:rPr>
        <w:t xml:space="preserve"> Edition, 146)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10.   "If in a deed an earlier clause is followed by a later clause which destroys altogether the obligation created by the earlier clause, the later clause is to be rejected as repugnant, and the earlier clause prevails....But if the later clause does not destroy but only qualifies the earlier, then the two are to be read together and effect is to be given to the intention of the parties as disclosed by the deed as a whole" (per </w:t>
      </w:r>
      <w:r w:rsidRPr="00513CC1">
        <w:rPr>
          <w:rFonts w:ascii="Times New Roman" w:eastAsia="Times New Roman" w:hAnsi="Times New Roman" w:cs="Times New Roman"/>
          <w:i/>
          <w:sz w:val="25"/>
          <w:szCs w:val="25"/>
        </w:rPr>
        <w:t xml:space="preserve">Lord </w:t>
      </w:r>
      <w:proofErr w:type="spellStart"/>
      <w:r w:rsidRPr="00513CC1">
        <w:rPr>
          <w:rFonts w:ascii="Times New Roman" w:eastAsia="Times New Roman" w:hAnsi="Times New Roman" w:cs="Times New Roman"/>
          <w:i/>
          <w:sz w:val="25"/>
          <w:szCs w:val="25"/>
        </w:rPr>
        <w:t>Wrenbury</w:t>
      </w:r>
      <w:proofErr w:type="spellEnd"/>
      <w:r w:rsidRPr="00513CC1">
        <w:rPr>
          <w:rFonts w:ascii="Times New Roman" w:eastAsia="Times New Roman" w:hAnsi="Times New Roman" w:cs="Times New Roman"/>
          <w:i/>
          <w:sz w:val="25"/>
          <w:szCs w:val="25"/>
        </w:rPr>
        <w:t xml:space="preserve"> in Forbes v. Git</w:t>
      </w:r>
      <w:r w:rsidR="00513CC1" w:rsidRPr="00513CC1">
        <w:rPr>
          <w:rFonts w:ascii="Times New Roman" w:eastAsia="Times New Roman" w:hAnsi="Times New Roman" w:cs="Times New Roman"/>
          <w:i/>
          <w:sz w:val="25"/>
          <w:szCs w:val="25"/>
          <w:vertAlign w:val="superscript"/>
        </w:rPr>
        <w:t>8</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11.   A statutory proviso "is something engrafted on a preceding enactment" (</w:t>
      </w:r>
      <w:r w:rsidRPr="00ED163C">
        <w:rPr>
          <w:rFonts w:ascii="Times New Roman" w:eastAsia="Times New Roman" w:hAnsi="Times New Roman" w:cs="Times New Roman"/>
          <w:i/>
          <w:sz w:val="25"/>
          <w:szCs w:val="25"/>
        </w:rPr>
        <w:t>R. v. Taunton</w:t>
      </w:r>
      <w:r w:rsidR="00ED163C" w:rsidRPr="00ED163C">
        <w:rPr>
          <w:rFonts w:ascii="Times New Roman" w:eastAsia="Times New Roman" w:hAnsi="Times New Roman" w:cs="Times New Roman"/>
          <w:i/>
          <w:sz w:val="25"/>
          <w:szCs w:val="25"/>
        </w:rPr>
        <w:t xml:space="preserve"> </w:t>
      </w:r>
      <w:r w:rsidR="00ED163C" w:rsidRPr="00ED163C">
        <w:rPr>
          <w:rFonts w:ascii="Times New Roman" w:eastAsia="Times New Roman" w:hAnsi="Times New Roman" w:cs="Times New Roman"/>
          <w:i/>
          <w:sz w:val="25"/>
          <w:szCs w:val="25"/>
        </w:rPr>
        <w:t>St James</w:t>
      </w:r>
      <w:r w:rsidR="00513CC1" w:rsidRPr="00513CC1">
        <w:rPr>
          <w:rFonts w:ascii="Times New Roman" w:eastAsia="Times New Roman" w:hAnsi="Times New Roman" w:cs="Times New Roman"/>
          <w:sz w:val="25"/>
          <w:szCs w:val="25"/>
          <w:vertAlign w:val="superscript"/>
        </w:rPr>
        <w:t>9</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12.   "The ordinary and proper function of a proviso coming after a general enactment is to limit that general enactment in certain instances" (per </w:t>
      </w:r>
      <w:r w:rsidRPr="00513CC1">
        <w:rPr>
          <w:rFonts w:ascii="Times New Roman" w:eastAsia="Times New Roman" w:hAnsi="Times New Roman" w:cs="Times New Roman"/>
          <w:i/>
          <w:sz w:val="25"/>
          <w:szCs w:val="25"/>
        </w:rPr>
        <w:t xml:space="preserve">Lord </w:t>
      </w:r>
      <w:proofErr w:type="spellStart"/>
      <w:r w:rsidRPr="00513CC1">
        <w:rPr>
          <w:rFonts w:ascii="Times New Roman" w:eastAsia="Times New Roman" w:hAnsi="Times New Roman" w:cs="Times New Roman"/>
          <w:i/>
          <w:sz w:val="25"/>
          <w:szCs w:val="25"/>
        </w:rPr>
        <w:t>Esher</w:t>
      </w:r>
      <w:proofErr w:type="spellEnd"/>
      <w:r w:rsidRPr="00513CC1">
        <w:rPr>
          <w:rFonts w:ascii="Times New Roman" w:eastAsia="Times New Roman" w:hAnsi="Times New Roman" w:cs="Times New Roman"/>
          <w:i/>
          <w:sz w:val="25"/>
          <w:szCs w:val="25"/>
        </w:rPr>
        <w:t xml:space="preserve"> in Re Barker</w:t>
      </w:r>
      <w:r w:rsidR="00513CC1" w:rsidRPr="00513CC1">
        <w:rPr>
          <w:rFonts w:ascii="Times New Roman" w:eastAsia="Times New Roman" w:hAnsi="Times New Roman" w:cs="Times New Roman"/>
          <w:i/>
          <w:sz w:val="25"/>
          <w:szCs w:val="25"/>
          <w:vertAlign w:val="superscript"/>
        </w:rPr>
        <w:t>10</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13.   A proviso to a section cannot be used to import into the enacting part something which is not there, but where the enacting part is susceptible to several possible meanings it may be controlled by the proviso (See </w:t>
      </w:r>
      <w:r w:rsidRPr="00513CC1">
        <w:rPr>
          <w:rFonts w:ascii="Times New Roman" w:eastAsia="Times New Roman" w:hAnsi="Times New Roman" w:cs="Times New Roman"/>
          <w:i/>
          <w:sz w:val="25"/>
          <w:szCs w:val="25"/>
        </w:rPr>
        <w:t>Jennings v. Kelly</w:t>
      </w:r>
      <w:r w:rsidR="00513CC1" w:rsidRPr="00513CC1">
        <w:rPr>
          <w:rFonts w:ascii="Times New Roman" w:eastAsia="Times New Roman" w:hAnsi="Times New Roman" w:cs="Times New Roman"/>
          <w:i/>
          <w:sz w:val="25"/>
          <w:szCs w:val="25"/>
          <w:vertAlign w:val="superscript"/>
        </w:rPr>
        <w:t>11</w:t>
      </w:r>
      <w:r w:rsidRPr="0025333F">
        <w:rPr>
          <w:rFonts w:ascii="Times New Roman" w:eastAsia="Times New Roman" w:hAnsi="Times New Roman" w:cs="Times New Roman"/>
          <w:sz w:val="25"/>
          <w:szCs w:val="25"/>
        </w:rPr>
        <w:t xml:space="preserve">).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14.   The above position was noted in </w:t>
      </w:r>
      <w:r w:rsidRPr="00513CC1">
        <w:rPr>
          <w:rFonts w:ascii="Times New Roman" w:eastAsia="Times New Roman" w:hAnsi="Times New Roman" w:cs="Times New Roman"/>
          <w:i/>
          <w:sz w:val="25"/>
          <w:szCs w:val="25"/>
        </w:rPr>
        <w:t xml:space="preserve">Ali M.K. &amp;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w:t>
      </w:r>
      <w:proofErr w:type="gramStart"/>
      <w:r w:rsidRPr="00513CC1">
        <w:rPr>
          <w:rFonts w:ascii="Times New Roman" w:eastAsia="Times New Roman" w:hAnsi="Times New Roman" w:cs="Times New Roman"/>
          <w:i/>
          <w:sz w:val="25"/>
          <w:szCs w:val="25"/>
        </w:rPr>
        <w:t>v. State</w:t>
      </w:r>
      <w:proofErr w:type="gramEnd"/>
      <w:r w:rsidRPr="00513CC1">
        <w:rPr>
          <w:rFonts w:ascii="Times New Roman" w:eastAsia="Times New Roman" w:hAnsi="Times New Roman" w:cs="Times New Roman"/>
          <w:i/>
          <w:sz w:val="25"/>
          <w:szCs w:val="25"/>
        </w:rPr>
        <w:t xml:space="preserve"> of Kerala and Ors.</w:t>
      </w:r>
      <w:r w:rsidR="00513CC1" w:rsidRPr="00513CC1">
        <w:rPr>
          <w:rFonts w:ascii="Times New Roman" w:eastAsia="Times New Roman" w:hAnsi="Times New Roman" w:cs="Times New Roman"/>
          <w:i/>
          <w:sz w:val="25"/>
          <w:szCs w:val="25"/>
          <w:vertAlign w:val="superscript"/>
        </w:rPr>
        <w:t>12</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15.   It is well settled principle in law that the Court cannot read anything into a statutory provision which is plain and unambiguous. A statute is an edict of the Legislature. The language employed in a statute is the determinative factor of legislative intent.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16.   Words and phrases are symbols that stimulate mental references to referents. The object of interpreting a statute is to ascertain the intention of the Legislature enacting it. (See </w:t>
      </w:r>
      <w:r w:rsidRPr="00513CC1">
        <w:rPr>
          <w:rFonts w:ascii="Times New Roman" w:eastAsia="Times New Roman" w:hAnsi="Times New Roman" w:cs="Times New Roman"/>
          <w:i/>
          <w:sz w:val="25"/>
          <w:szCs w:val="25"/>
        </w:rPr>
        <w:t>Institute of Chartered Accountants of India v. M/s Price Waterhouse and Anr.</w:t>
      </w:r>
      <w:r w:rsidR="00513CC1" w:rsidRPr="00513CC1">
        <w:rPr>
          <w:rFonts w:ascii="Times New Roman" w:eastAsia="Times New Roman" w:hAnsi="Times New Roman" w:cs="Times New Roman"/>
          <w:i/>
          <w:sz w:val="25"/>
          <w:szCs w:val="25"/>
          <w:vertAlign w:val="superscript"/>
        </w:rPr>
        <w:t>13</w:t>
      </w:r>
      <w:r w:rsidRPr="0025333F">
        <w:rPr>
          <w:rFonts w:ascii="Times New Roman" w:eastAsia="Times New Roman" w:hAnsi="Times New Roman" w:cs="Times New Roman"/>
          <w:sz w:val="25"/>
          <w:szCs w:val="25"/>
        </w:rPr>
        <w:t xml:space="preserve">) The intention of the Legislature is primarily to be gathered from the language used, which means that attention should be paid to what has been said as also to what has not been said. As a consequence, a construction which requires for its support, addition or substitution of words or which results in rejection of words as meaningless has to be avoided. As observed in </w:t>
      </w:r>
      <w:r w:rsidRPr="00513CC1">
        <w:rPr>
          <w:rFonts w:ascii="Times New Roman" w:eastAsia="Times New Roman" w:hAnsi="Times New Roman" w:cs="Times New Roman"/>
          <w:i/>
          <w:sz w:val="25"/>
          <w:szCs w:val="25"/>
        </w:rPr>
        <w:t>Crawford v. Spooner</w:t>
      </w:r>
      <w:r w:rsidR="00513CC1" w:rsidRPr="00513CC1">
        <w:rPr>
          <w:rFonts w:ascii="Times New Roman" w:eastAsia="Times New Roman" w:hAnsi="Times New Roman" w:cs="Times New Roman"/>
          <w:i/>
          <w:sz w:val="25"/>
          <w:szCs w:val="25"/>
          <w:vertAlign w:val="superscript"/>
        </w:rPr>
        <w:t>14</w:t>
      </w:r>
      <w:r w:rsidRPr="0025333F">
        <w:rPr>
          <w:rFonts w:ascii="Times New Roman" w:eastAsia="Times New Roman" w:hAnsi="Times New Roman" w:cs="Times New Roman"/>
          <w:sz w:val="25"/>
          <w:szCs w:val="25"/>
        </w:rPr>
        <w:t xml:space="preserve">, Courts, cannot aid the Legislatures' defective phrasing of an Act, we cannot add or mend, and by construction make up deficiencies which are left there. (See The </w:t>
      </w:r>
      <w:r w:rsidRPr="00513CC1">
        <w:rPr>
          <w:rFonts w:ascii="Times New Roman" w:eastAsia="Times New Roman" w:hAnsi="Times New Roman" w:cs="Times New Roman"/>
          <w:i/>
          <w:sz w:val="25"/>
          <w:szCs w:val="25"/>
        </w:rPr>
        <w:t xml:space="preserve">State of Gujarat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v. </w:t>
      </w:r>
      <w:proofErr w:type="spellStart"/>
      <w:r w:rsidRPr="00513CC1">
        <w:rPr>
          <w:rFonts w:ascii="Times New Roman" w:eastAsia="Times New Roman" w:hAnsi="Times New Roman" w:cs="Times New Roman"/>
          <w:i/>
          <w:sz w:val="25"/>
          <w:szCs w:val="25"/>
        </w:rPr>
        <w:t>Dilipbhai</w:t>
      </w:r>
      <w:proofErr w:type="spell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Nathjibhai</w:t>
      </w:r>
      <w:proofErr w:type="spellEnd"/>
      <w:r w:rsidRPr="00513CC1">
        <w:rPr>
          <w:rFonts w:ascii="Times New Roman" w:eastAsia="Times New Roman" w:hAnsi="Times New Roman" w:cs="Times New Roman"/>
          <w:i/>
          <w:sz w:val="25"/>
          <w:szCs w:val="25"/>
        </w:rPr>
        <w:t xml:space="preserve"> Patel and Anr.</w:t>
      </w:r>
      <w:r w:rsidR="00513CC1" w:rsidRPr="00513CC1">
        <w:rPr>
          <w:rFonts w:ascii="Times New Roman" w:eastAsia="Times New Roman" w:hAnsi="Times New Roman" w:cs="Times New Roman"/>
          <w:i/>
          <w:sz w:val="25"/>
          <w:szCs w:val="25"/>
          <w:vertAlign w:val="superscript"/>
        </w:rPr>
        <w:t>15</w:t>
      </w:r>
      <w:r w:rsidRPr="0025333F">
        <w:rPr>
          <w:rFonts w:ascii="Times New Roman" w:eastAsia="Times New Roman" w:hAnsi="Times New Roman" w:cs="Times New Roman"/>
          <w:sz w:val="25"/>
          <w:szCs w:val="25"/>
        </w:rPr>
        <w:t>). It is contrary to all</w:t>
      </w:r>
      <w:proofErr w:type="gramStart"/>
      <w:r w:rsidRPr="0025333F">
        <w:rPr>
          <w:rFonts w:ascii="Times New Roman" w:eastAsia="Times New Roman" w:hAnsi="Times New Roman" w:cs="Times New Roman"/>
          <w:sz w:val="25"/>
          <w:szCs w:val="25"/>
        </w:rPr>
        <w:t>  rules</w:t>
      </w:r>
      <w:proofErr w:type="gramEnd"/>
      <w:r w:rsidRPr="0025333F">
        <w:rPr>
          <w:rFonts w:ascii="Times New Roman" w:eastAsia="Times New Roman" w:hAnsi="Times New Roman" w:cs="Times New Roman"/>
          <w:sz w:val="25"/>
          <w:szCs w:val="25"/>
        </w:rPr>
        <w:t xml:space="preserve"> of construction to read words into an Act unless it is absolutely necessary to do so. (See </w:t>
      </w:r>
      <w:r w:rsidRPr="00513CC1">
        <w:rPr>
          <w:rFonts w:ascii="Times New Roman" w:eastAsia="Times New Roman" w:hAnsi="Times New Roman" w:cs="Times New Roman"/>
          <w:i/>
          <w:sz w:val="25"/>
          <w:szCs w:val="25"/>
        </w:rPr>
        <w:t>Stock v. Frank Jones (</w:t>
      </w:r>
      <w:proofErr w:type="spellStart"/>
      <w:r w:rsidRPr="00513CC1">
        <w:rPr>
          <w:rFonts w:ascii="Times New Roman" w:eastAsia="Times New Roman" w:hAnsi="Times New Roman" w:cs="Times New Roman"/>
          <w:i/>
          <w:sz w:val="25"/>
          <w:szCs w:val="25"/>
        </w:rPr>
        <w:t>Tiptan</w:t>
      </w:r>
      <w:proofErr w:type="spellEnd"/>
      <w:r w:rsidRPr="00513CC1">
        <w:rPr>
          <w:rFonts w:ascii="Times New Roman" w:eastAsia="Times New Roman" w:hAnsi="Times New Roman" w:cs="Times New Roman"/>
          <w:i/>
          <w:sz w:val="25"/>
          <w:szCs w:val="25"/>
        </w:rPr>
        <w:t>) Ltd.</w:t>
      </w:r>
      <w:r w:rsidR="00513CC1" w:rsidRPr="00513CC1">
        <w:rPr>
          <w:rFonts w:ascii="Times New Roman" w:eastAsia="Times New Roman" w:hAnsi="Times New Roman" w:cs="Times New Roman"/>
          <w:i/>
          <w:sz w:val="25"/>
          <w:szCs w:val="25"/>
          <w:vertAlign w:val="superscript"/>
        </w:rPr>
        <w:t>16</w:t>
      </w:r>
      <w:r w:rsidRPr="0025333F">
        <w:rPr>
          <w:rFonts w:ascii="Times New Roman" w:eastAsia="Times New Roman" w:hAnsi="Times New Roman" w:cs="Times New Roman"/>
          <w:sz w:val="25"/>
          <w:szCs w:val="25"/>
        </w:rPr>
        <w:t xml:space="preserve">. Rules of interpretation do not permit Courts to do so, unless the provision as it stands is meaningless or of doubtful meaning. Courts are not entitled to read words into an Act of Parliament unless clear reason for it is to be found within the four corners of the Act itself. </w:t>
      </w:r>
      <w:proofErr w:type="gramStart"/>
      <w:r w:rsidRPr="0025333F">
        <w:rPr>
          <w:rFonts w:ascii="Times New Roman" w:eastAsia="Times New Roman" w:hAnsi="Times New Roman" w:cs="Times New Roman"/>
          <w:sz w:val="25"/>
          <w:szCs w:val="25"/>
        </w:rPr>
        <w:t xml:space="preserve">(Per </w:t>
      </w:r>
      <w:r w:rsidRPr="00513CC1">
        <w:rPr>
          <w:rFonts w:ascii="Times New Roman" w:eastAsia="Times New Roman" w:hAnsi="Times New Roman" w:cs="Times New Roman"/>
          <w:i/>
          <w:sz w:val="25"/>
          <w:szCs w:val="25"/>
        </w:rPr>
        <w:t xml:space="preserve">Lord </w:t>
      </w:r>
      <w:proofErr w:type="spellStart"/>
      <w:r w:rsidRPr="00513CC1">
        <w:rPr>
          <w:rFonts w:ascii="Times New Roman" w:eastAsia="Times New Roman" w:hAnsi="Times New Roman" w:cs="Times New Roman"/>
          <w:i/>
          <w:sz w:val="25"/>
          <w:szCs w:val="25"/>
        </w:rPr>
        <w:t>Loreburn</w:t>
      </w:r>
      <w:proofErr w:type="spellEnd"/>
      <w:r w:rsidRPr="00513CC1">
        <w:rPr>
          <w:rFonts w:ascii="Times New Roman" w:eastAsia="Times New Roman" w:hAnsi="Times New Roman" w:cs="Times New Roman"/>
          <w:i/>
          <w:sz w:val="25"/>
          <w:szCs w:val="25"/>
        </w:rPr>
        <w:t xml:space="preserve"> L.C. in Vickers Sons and Maxim Ltd. v. Evans</w:t>
      </w:r>
      <w:r w:rsidR="00513CC1" w:rsidRPr="00513CC1">
        <w:rPr>
          <w:rFonts w:ascii="Times New Roman" w:eastAsia="Times New Roman" w:hAnsi="Times New Roman" w:cs="Times New Roman"/>
          <w:i/>
          <w:sz w:val="25"/>
          <w:szCs w:val="25"/>
          <w:vertAlign w:val="superscript"/>
        </w:rPr>
        <w:t>17</w:t>
      </w:r>
      <w:r w:rsidRPr="0025333F">
        <w:rPr>
          <w:rFonts w:ascii="Times New Roman" w:eastAsia="Times New Roman" w:hAnsi="Times New Roman" w:cs="Times New Roman"/>
          <w:sz w:val="25"/>
          <w:szCs w:val="25"/>
        </w:rPr>
        <w:t xml:space="preserve">, </w:t>
      </w:r>
      <w:r w:rsidRPr="00513CC1">
        <w:rPr>
          <w:rFonts w:ascii="Times New Roman" w:eastAsia="Times New Roman" w:hAnsi="Times New Roman" w:cs="Times New Roman"/>
          <w:i/>
          <w:sz w:val="25"/>
          <w:szCs w:val="25"/>
        </w:rPr>
        <w:t xml:space="preserve">quoted in </w:t>
      </w:r>
      <w:proofErr w:type="spellStart"/>
      <w:r w:rsidRPr="00513CC1">
        <w:rPr>
          <w:rFonts w:ascii="Times New Roman" w:eastAsia="Times New Roman" w:hAnsi="Times New Roman" w:cs="Times New Roman"/>
          <w:i/>
          <w:sz w:val="25"/>
          <w:szCs w:val="25"/>
        </w:rPr>
        <w:t>Jamma</w:t>
      </w:r>
      <w:proofErr w:type="spellEnd"/>
      <w:r w:rsidRPr="00513CC1">
        <w:rPr>
          <w:rFonts w:ascii="Times New Roman" w:eastAsia="Times New Roman" w:hAnsi="Times New Roman" w:cs="Times New Roman"/>
          <w:i/>
          <w:sz w:val="25"/>
          <w:szCs w:val="25"/>
        </w:rPr>
        <w:t xml:space="preserve"> Masjid, </w:t>
      </w:r>
      <w:proofErr w:type="spellStart"/>
      <w:r w:rsidRPr="00513CC1">
        <w:rPr>
          <w:rFonts w:ascii="Times New Roman" w:eastAsia="Times New Roman" w:hAnsi="Times New Roman" w:cs="Times New Roman"/>
          <w:i/>
          <w:sz w:val="25"/>
          <w:szCs w:val="25"/>
        </w:rPr>
        <w:t>Mercara</w:t>
      </w:r>
      <w:proofErr w:type="spellEnd"/>
      <w:r w:rsidRPr="00513CC1">
        <w:rPr>
          <w:rFonts w:ascii="Times New Roman" w:eastAsia="Times New Roman" w:hAnsi="Times New Roman" w:cs="Times New Roman"/>
          <w:i/>
          <w:sz w:val="25"/>
          <w:szCs w:val="25"/>
        </w:rPr>
        <w:t xml:space="preserve"> v. </w:t>
      </w:r>
      <w:proofErr w:type="spellStart"/>
      <w:r w:rsidRPr="00513CC1">
        <w:rPr>
          <w:rFonts w:ascii="Times New Roman" w:eastAsia="Times New Roman" w:hAnsi="Times New Roman" w:cs="Times New Roman"/>
          <w:i/>
          <w:sz w:val="25"/>
          <w:szCs w:val="25"/>
        </w:rPr>
        <w:t>Kodimaniandra</w:t>
      </w:r>
      <w:proofErr w:type="spell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Deviah</w:t>
      </w:r>
      <w:proofErr w:type="spellEnd"/>
      <w:r w:rsidRPr="00513CC1">
        <w:rPr>
          <w:rFonts w:ascii="Times New Roman" w:eastAsia="Times New Roman" w:hAnsi="Times New Roman" w:cs="Times New Roman"/>
          <w:i/>
          <w:sz w:val="25"/>
          <w:szCs w:val="25"/>
        </w:rPr>
        <w:t xml:space="preserve"> and Ors.</w:t>
      </w:r>
      <w:r w:rsidR="00513CC1" w:rsidRPr="00513CC1">
        <w:rPr>
          <w:rFonts w:ascii="Times New Roman" w:eastAsia="Times New Roman" w:hAnsi="Times New Roman" w:cs="Times New Roman"/>
          <w:i/>
          <w:sz w:val="25"/>
          <w:szCs w:val="25"/>
          <w:vertAlign w:val="superscript"/>
        </w:rPr>
        <w:t>18</w:t>
      </w:r>
      <w:r w:rsidRPr="0025333F">
        <w:rPr>
          <w:rFonts w:ascii="Times New Roman" w:eastAsia="Times New Roman" w:hAnsi="Times New Roman" w:cs="Times New Roman"/>
          <w:sz w:val="25"/>
          <w:szCs w:val="25"/>
        </w:rPr>
        <w:t>.</w:t>
      </w:r>
      <w:proofErr w:type="gramEnd"/>
      <w:r w:rsidRPr="0025333F">
        <w:rPr>
          <w:rFonts w:ascii="Times New Roman" w:eastAsia="Times New Roman" w:hAnsi="Times New Roman" w:cs="Times New Roman"/>
          <w:sz w:val="25"/>
          <w:szCs w:val="25"/>
        </w:rPr>
        <w:t xml:space="preserve">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lastRenderedPageBreak/>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17.   The question is not what may be supposed and has been intended but what has been said. "Statutes should be construed not as theorems of Euclid". Judge Learned Hand said, "</w:t>
      </w:r>
      <w:proofErr w:type="gramStart"/>
      <w:r w:rsidRPr="0025333F">
        <w:rPr>
          <w:rFonts w:ascii="Times New Roman" w:eastAsia="Times New Roman" w:hAnsi="Times New Roman" w:cs="Times New Roman"/>
          <w:sz w:val="25"/>
          <w:szCs w:val="25"/>
        </w:rPr>
        <w:t>but</w:t>
      </w:r>
      <w:proofErr w:type="gramEnd"/>
      <w:r w:rsidRPr="0025333F">
        <w:rPr>
          <w:rFonts w:ascii="Times New Roman" w:eastAsia="Times New Roman" w:hAnsi="Times New Roman" w:cs="Times New Roman"/>
          <w:sz w:val="25"/>
          <w:szCs w:val="25"/>
        </w:rPr>
        <w:t xml:space="preserve"> words must be construed with some imagination of the purposes which lie behind them". </w:t>
      </w:r>
      <w:proofErr w:type="gramStart"/>
      <w:r w:rsidRPr="0025333F">
        <w:rPr>
          <w:rFonts w:ascii="Times New Roman" w:eastAsia="Times New Roman" w:hAnsi="Times New Roman" w:cs="Times New Roman"/>
          <w:sz w:val="25"/>
          <w:szCs w:val="25"/>
        </w:rPr>
        <w:t xml:space="preserve">(See </w:t>
      </w:r>
      <w:proofErr w:type="spellStart"/>
      <w:r w:rsidRPr="00513CC1">
        <w:rPr>
          <w:rFonts w:ascii="Times New Roman" w:eastAsia="Times New Roman" w:hAnsi="Times New Roman" w:cs="Times New Roman"/>
          <w:i/>
          <w:sz w:val="25"/>
          <w:szCs w:val="25"/>
        </w:rPr>
        <w:t>Lenigh</w:t>
      </w:r>
      <w:proofErr w:type="spellEnd"/>
      <w:r w:rsidRPr="00513CC1">
        <w:rPr>
          <w:rFonts w:ascii="Times New Roman" w:eastAsia="Times New Roman" w:hAnsi="Times New Roman" w:cs="Times New Roman"/>
          <w:i/>
          <w:sz w:val="25"/>
          <w:szCs w:val="25"/>
        </w:rPr>
        <w:t xml:space="preserve"> Valley Coal Co. v. Yensavage</w:t>
      </w:r>
      <w:r w:rsidR="00513CC1" w:rsidRPr="00513CC1">
        <w:rPr>
          <w:rFonts w:ascii="Times New Roman" w:eastAsia="Times New Roman" w:hAnsi="Times New Roman" w:cs="Times New Roman"/>
          <w:i/>
          <w:sz w:val="25"/>
          <w:szCs w:val="25"/>
          <w:vertAlign w:val="superscript"/>
        </w:rPr>
        <w:t>19</w:t>
      </w:r>
      <w:r w:rsidRPr="0025333F">
        <w:rPr>
          <w:rFonts w:ascii="Times New Roman" w:eastAsia="Times New Roman" w:hAnsi="Times New Roman" w:cs="Times New Roman"/>
          <w:sz w:val="25"/>
          <w:szCs w:val="25"/>
        </w:rPr>
        <w:t>.</w:t>
      </w:r>
      <w:proofErr w:type="gramEnd"/>
      <w:r w:rsidRPr="0025333F">
        <w:rPr>
          <w:rFonts w:ascii="Times New Roman" w:eastAsia="Times New Roman" w:hAnsi="Times New Roman" w:cs="Times New Roman"/>
          <w:sz w:val="25"/>
          <w:szCs w:val="25"/>
        </w:rPr>
        <w:t xml:space="preserve"> The view was re-iterated in </w:t>
      </w:r>
      <w:r w:rsidRPr="00513CC1">
        <w:rPr>
          <w:rFonts w:ascii="Times New Roman" w:eastAsia="Times New Roman" w:hAnsi="Times New Roman" w:cs="Times New Roman"/>
          <w:i/>
          <w:sz w:val="25"/>
          <w:szCs w:val="25"/>
        </w:rPr>
        <w:t xml:space="preserve">Union of India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w:t>
      </w:r>
      <w:proofErr w:type="gramStart"/>
      <w:r w:rsidRPr="00513CC1">
        <w:rPr>
          <w:rFonts w:ascii="Times New Roman" w:eastAsia="Times New Roman" w:hAnsi="Times New Roman" w:cs="Times New Roman"/>
          <w:i/>
          <w:sz w:val="25"/>
          <w:szCs w:val="25"/>
        </w:rPr>
        <w:t>v</w:t>
      </w:r>
      <w:proofErr w:type="gramEnd"/>
      <w:r w:rsidRPr="00513CC1">
        <w:rPr>
          <w:rFonts w:ascii="Times New Roman" w:eastAsia="Times New Roman" w:hAnsi="Times New Roman" w:cs="Times New Roman"/>
          <w:i/>
          <w:sz w:val="25"/>
          <w:szCs w:val="25"/>
        </w:rPr>
        <w:t xml:space="preserve">. </w:t>
      </w:r>
      <w:proofErr w:type="spellStart"/>
      <w:r w:rsidRPr="00513CC1">
        <w:rPr>
          <w:rFonts w:ascii="Times New Roman" w:eastAsia="Times New Roman" w:hAnsi="Times New Roman" w:cs="Times New Roman"/>
          <w:i/>
          <w:sz w:val="25"/>
          <w:szCs w:val="25"/>
        </w:rPr>
        <w:t>Filip</w:t>
      </w:r>
      <w:proofErr w:type="spellEnd"/>
      <w:r w:rsidRPr="00513CC1">
        <w:rPr>
          <w:rFonts w:ascii="Times New Roman" w:eastAsia="Times New Roman" w:hAnsi="Times New Roman" w:cs="Times New Roman"/>
          <w:i/>
          <w:sz w:val="25"/>
          <w:szCs w:val="25"/>
        </w:rPr>
        <w:t xml:space="preserve"> Tiago De Gama of </w:t>
      </w:r>
      <w:proofErr w:type="spellStart"/>
      <w:r w:rsidRPr="00513CC1">
        <w:rPr>
          <w:rFonts w:ascii="Times New Roman" w:eastAsia="Times New Roman" w:hAnsi="Times New Roman" w:cs="Times New Roman"/>
          <w:i/>
          <w:sz w:val="25"/>
          <w:szCs w:val="25"/>
        </w:rPr>
        <w:t>Vedem</w:t>
      </w:r>
      <w:proofErr w:type="spellEnd"/>
      <w:r w:rsidRPr="00513CC1">
        <w:rPr>
          <w:rFonts w:ascii="Times New Roman" w:eastAsia="Times New Roman" w:hAnsi="Times New Roman" w:cs="Times New Roman"/>
          <w:i/>
          <w:sz w:val="25"/>
          <w:szCs w:val="25"/>
        </w:rPr>
        <w:t xml:space="preserve"> Vasco De Gama</w:t>
      </w:r>
      <w:r w:rsidR="00513CC1" w:rsidRPr="00513CC1">
        <w:rPr>
          <w:rFonts w:ascii="Times New Roman" w:eastAsia="Times New Roman" w:hAnsi="Times New Roman" w:cs="Times New Roman"/>
          <w:i/>
          <w:sz w:val="25"/>
          <w:szCs w:val="25"/>
          <w:vertAlign w:val="superscript"/>
        </w:rPr>
        <w:t>20</w:t>
      </w:r>
      <w:r w:rsidRPr="0025333F">
        <w:rPr>
          <w:rFonts w:ascii="Times New Roman" w:eastAsia="Times New Roman" w:hAnsi="Times New Roman" w:cs="Times New Roman"/>
          <w:sz w:val="25"/>
          <w:szCs w:val="25"/>
        </w:rPr>
        <w:t>).</w:t>
      </w:r>
    </w:p>
    <w:p w:rsidR="00287C00" w:rsidRDefault="00287C00" w:rsidP="0025333F">
      <w:pPr>
        <w:spacing w:after="0" w:line="240" w:lineRule="auto"/>
        <w:jc w:val="both"/>
        <w:rPr>
          <w:rFonts w:ascii="Times New Roman" w:eastAsia="Times New Roman" w:hAnsi="Times New Roman" w:cs="Times New Roman"/>
          <w:sz w:val="25"/>
          <w:szCs w:val="25"/>
        </w:rPr>
      </w:pP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18.   </w:t>
      </w:r>
      <w:proofErr w:type="gramStart"/>
      <w:r w:rsidRPr="0025333F">
        <w:rPr>
          <w:rFonts w:ascii="Times New Roman" w:eastAsia="Times New Roman" w:hAnsi="Times New Roman" w:cs="Times New Roman"/>
          <w:sz w:val="25"/>
          <w:szCs w:val="25"/>
        </w:rPr>
        <w:t>In</w:t>
      </w:r>
      <w:proofErr w:type="gramEnd"/>
      <w:r w:rsidRPr="0025333F">
        <w:rPr>
          <w:rFonts w:ascii="Times New Roman" w:eastAsia="Times New Roman" w:hAnsi="Times New Roman" w:cs="Times New Roman"/>
          <w:sz w:val="25"/>
          <w:szCs w:val="25"/>
        </w:rPr>
        <w:t xml:space="preserve"> </w:t>
      </w:r>
      <w:r w:rsidRPr="00513CC1">
        <w:rPr>
          <w:rFonts w:ascii="Times New Roman" w:eastAsia="Times New Roman" w:hAnsi="Times New Roman" w:cs="Times New Roman"/>
          <w:i/>
          <w:sz w:val="25"/>
          <w:szCs w:val="25"/>
        </w:rPr>
        <w:t xml:space="preserve">Dr. R. </w:t>
      </w:r>
      <w:proofErr w:type="spellStart"/>
      <w:r w:rsidRPr="00513CC1">
        <w:rPr>
          <w:rFonts w:ascii="Times New Roman" w:eastAsia="Times New Roman" w:hAnsi="Times New Roman" w:cs="Times New Roman"/>
          <w:i/>
          <w:sz w:val="25"/>
          <w:szCs w:val="25"/>
        </w:rPr>
        <w:t>Venkatchalam</w:t>
      </w:r>
      <w:proofErr w:type="spellEnd"/>
      <w:r w:rsidRPr="00513CC1">
        <w:rPr>
          <w:rFonts w:ascii="Times New Roman" w:eastAsia="Times New Roman" w:hAnsi="Times New Roman" w:cs="Times New Roman"/>
          <w:i/>
          <w:sz w:val="25"/>
          <w:szCs w:val="25"/>
        </w:rPr>
        <w:t xml:space="preserve">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 xml:space="preserve">. </w:t>
      </w:r>
      <w:proofErr w:type="gramStart"/>
      <w:r w:rsidRPr="00513CC1">
        <w:rPr>
          <w:rFonts w:ascii="Times New Roman" w:eastAsia="Times New Roman" w:hAnsi="Times New Roman" w:cs="Times New Roman"/>
          <w:i/>
          <w:sz w:val="25"/>
          <w:szCs w:val="25"/>
        </w:rPr>
        <w:t xml:space="preserve">etc. v. Dy. Transport Commissioner and </w:t>
      </w:r>
      <w:proofErr w:type="spellStart"/>
      <w:r w:rsidRPr="00513CC1">
        <w:rPr>
          <w:rFonts w:ascii="Times New Roman" w:eastAsia="Times New Roman" w:hAnsi="Times New Roman" w:cs="Times New Roman"/>
          <w:i/>
          <w:sz w:val="25"/>
          <w:szCs w:val="25"/>
        </w:rPr>
        <w:t>Ors</w:t>
      </w:r>
      <w:proofErr w:type="spellEnd"/>
      <w:r w:rsidRPr="00513CC1">
        <w:rPr>
          <w:rFonts w:ascii="Times New Roman" w:eastAsia="Times New Roman" w:hAnsi="Times New Roman" w:cs="Times New Roman"/>
          <w:i/>
          <w:sz w:val="25"/>
          <w:szCs w:val="25"/>
        </w:rPr>
        <w:t>.</w:t>
      </w:r>
      <w:proofErr w:type="gramEnd"/>
      <w:r w:rsidRPr="00513CC1">
        <w:rPr>
          <w:rFonts w:ascii="Times New Roman" w:eastAsia="Times New Roman" w:hAnsi="Times New Roman" w:cs="Times New Roman"/>
          <w:i/>
          <w:sz w:val="25"/>
          <w:szCs w:val="25"/>
        </w:rPr>
        <w:t xml:space="preserve"> etc.</w:t>
      </w:r>
      <w:r w:rsidR="00513CC1" w:rsidRPr="00513CC1">
        <w:rPr>
          <w:rFonts w:ascii="Times New Roman" w:eastAsia="Times New Roman" w:hAnsi="Times New Roman" w:cs="Times New Roman"/>
          <w:i/>
          <w:sz w:val="25"/>
          <w:szCs w:val="25"/>
          <w:vertAlign w:val="superscript"/>
        </w:rPr>
        <w:t>21</w:t>
      </w:r>
      <w:r w:rsidRPr="0025333F">
        <w:rPr>
          <w:rFonts w:ascii="Times New Roman" w:eastAsia="Times New Roman" w:hAnsi="Times New Roman" w:cs="Times New Roman"/>
          <w:sz w:val="25"/>
          <w:szCs w:val="25"/>
        </w:rPr>
        <w:t>, it was observed that Courts must avoid the danger of a priori determination of the meaning of a provision based on their own pre-conceived notions of ideological structure or scheme into which the provision to be interpreted is somewhat fitted. They are not entitled to usurp legislative function under the disguise of interpretation.</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19.   While interpreting a provision the Court only interprets the law and cannot legislate it. If a provision of law is misused and subjected to the abuse of process of law, it is for the legislature to amend, modify or repeal it, if deemed necessary. (See </w:t>
      </w:r>
      <w:r w:rsidRPr="00513CC1">
        <w:rPr>
          <w:rFonts w:ascii="Times New Roman" w:eastAsia="Times New Roman" w:hAnsi="Times New Roman" w:cs="Times New Roman"/>
          <w:i/>
          <w:sz w:val="25"/>
          <w:szCs w:val="25"/>
        </w:rPr>
        <w:t>Commissioner of Sales Tax, M.P. v. Popular Trading Company, Ujjain</w:t>
      </w:r>
      <w:r w:rsidR="00513CC1" w:rsidRPr="00513CC1">
        <w:rPr>
          <w:rFonts w:ascii="Times New Roman" w:eastAsia="Times New Roman" w:hAnsi="Times New Roman" w:cs="Times New Roman"/>
          <w:i/>
          <w:sz w:val="25"/>
          <w:szCs w:val="25"/>
          <w:vertAlign w:val="superscript"/>
        </w:rPr>
        <w:t>22</w:t>
      </w:r>
      <w:r w:rsidRPr="0025333F">
        <w:rPr>
          <w:rFonts w:ascii="Times New Roman" w:eastAsia="Times New Roman" w:hAnsi="Times New Roman" w:cs="Times New Roman"/>
          <w:sz w:val="25"/>
          <w:szCs w:val="25"/>
        </w:rPr>
        <w:t xml:space="preserve">. The legislative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cannot be supplied by judicial interpretative process.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20.   Two principles of construction - one relating to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and the other in regard to reading the statute as a whole - appear to be well settled. Under the first principle a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cannot be supplied by the Court except in the case of clear necessity and when reason for it is found in the four corners of the statute itself but at the same time a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This would be more so if literal construction of a particular clause leads to manifestly absurd or anomalous results which could not have been intended by the Legislature. "An intention to produce an unreasonable result", said </w:t>
      </w:r>
      <w:proofErr w:type="spellStart"/>
      <w:r w:rsidRPr="00513CC1">
        <w:rPr>
          <w:rFonts w:ascii="Times New Roman" w:eastAsia="Times New Roman" w:hAnsi="Times New Roman" w:cs="Times New Roman"/>
          <w:i/>
          <w:sz w:val="25"/>
          <w:szCs w:val="25"/>
        </w:rPr>
        <w:t>Danackwerts</w:t>
      </w:r>
      <w:proofErr w:type="spellEnd"/>
      <w:r w:rsidRPr="00513CC1">
        <w:rPr>
          <w:rFonts w:ascii="Times New Roman" w:eastAsia="Times New Roman" w:hAnsi="Times New Roman" w:cs="Times New Roman"/>
          <w:i/>
          <w:sz w:val="25"/>
          <w:szCs w:val="25"/>
        </w:rPr>
        <w:t xml:space="preserve">, L.J. in </w:t>
      </w:r>
      <w:proofErr w:type="spellStart"/>
      <w:r w:rsidRPr="00513CC1">
        <w:rPr>
          <w:rFonts w:ascii="Times New Roman" w:eastAsia="Times New Roman" w:hAnsi="Times New Roman" w:cs="Times New Roman"/>
          <w:i/>
          <w:sz w:val="25"/>
          <w:szCs w:val="25"/>
        </w:rPr>
        <w:t>Artemiou</w:t>
      </w:r>
      <w:proofErr w:type="spellEnd"/>
      <w:r w:rsidRPr="00513CC1">
        <w:rPr>
          <w:rFonts w:ascii="Times New Roman" w:eastAsia="Times New Roman" w:hAnsi="Times New Roman" w:cs="Times New Roman"/>
          <w:i/>
          <w:sz w:val="25"/>
          <w:szCs w:val="25"/>
        </w:rPr>
        <w:t xml:space="preserve"> v. Procopiou</w:t>
      </w:r>
      <w:r w:rsidR="00513CC1" w:rsidRPr="00513CC1">
        <w:rPr>
          <w:rFonts w:ascii="Times New Roman" w:eastAsia="Times New Roman" w:hAnsi="Times New Roman" w:cs="Times New Roman"/>
          <w:i/>
          <w:sz w:val="25"/>
          <w:szCs w:val="25"/>
          <w:vertAlign w:val="superscript"/>
        </w:rPr>
        <w:t>23</w:t>
      </w:r>
      <w:r w:rsidRPr="0025333F">
        <w:rPr>
          <w:rFonts w:ascii="Times New Roman" w:eastAsia="Times New Roman" w:hAnsi="Times New Roman" w:cs="Times New Roman"/>
          <w:sz w:val="25"/>
          <w:szCs w:val="25"/>
        </w:rPr>
        <w:t xml:space="preserve">, "is not to be imputed to a statute if there is some other construction available". Where to apply words literally would "defeat the obvious intention of the legislature and produce a wholly unreasonable result" we must "do some violence to the words" and so achieve that obvious intention and produce a rational construction. (Per </w:t>
      </w:r>
      <w:r w:rsidRPr="00513CC1">
        <w:rPr>
          <w:rFonts w:ascii="Times New Roman" w:eastAsia="Times New Roman" w:hAnsi="Times New Roman" w:cs="Times New Roman"/>
          <w:i/>
          <w:sz w:val="25"/>
          <w:szCs w:val="25"/>
        </w:rPr>
        <w:t xml:space="preserve">Lord Reid in Luke v. </w:t>
      </w:r>
      <w:proofErr w:type="gramStart"/>
      <w:r w:rsidRPr="00513CC1">
        <w:rPr>
          <w:rFonts w:ascii="Times New Roman" w:eastAsia="Times New Roman" w:hAnsi="Times New Roman" w:cs="Times New Roman"/>
          <w:i/>
          <w:sz w:val="25"/>
          <w:szCs w:val="25"/>
        </w:rPr>
        <w:t>IRC</w:t>
      </w:r>
      <w:r w:rsidR="00513CC1" w:rsidRPr="00513CC1">
        <w:rPr>
          <w:rFonts w:ascii="Times New Roman" w:eastAsia="Times New Roman" w:hAnsi="Times New Roman" w:cs="Times New Roman"/>
          <w:i/>
          <w:sz w:val="25"/>
          <w:szCs w:val="25"/>
          <w:vertAlign w:val="superscript"/>
        </w:rPr>
        <w:t>24</w:t>
      </w:r>
      <w:r w:rsidRPr="0025333F">
        <w:rPr>
          <w:rFonts w:ascii="Times New Roman" w:eastAsia="Times New Roman" w:hAnsi="Times New Roman" w:cs="Times New Roman"/>
          <w:sz w:val="25"/>
          <w:szCs w:val="25"/>
        </w:rPr>
        <w:t xml:space="preserve"> </w:t>
      </w:r>
      <w:r w:rsidR="00513CC1">
        <w:rPr>
          <w:rFonts w:ascii="Times New Roman" w:eastAsia="Times New Roman" w:hAnsi="Times New Roman" w:cs="Times New Roman"/>
          <w:sz w:val="25"/>
          <w:szCs w:val="25"/>
        </w:rPr>
        <w:t>)</w:t>
      </w:r>
      <w:r w:rsidRPr="0025333F">
        <w:rPr>
          <w:rFonts w:ascii="Times New Roman" w:eastAsia="Times New Roman" w:hAnsi="Times New Roman" w:cs="Times New Roman"/>
          <w:sz w:val="25"/>
          <w:szCs w:val="25"/>
        </w:rPr>
        <w:t>where</w:t>
      </w:r>
      <w:proofErr w:type="gramEnd"/>
      <w:r w:rsidRPr="0025333F">
        <w:rPr>
          <w:rFonts w:ascii="Times New Roman" w:eastAsia="Times New Roman" w:hAnsi="Times New Roman" w:cs="Times New Roman"/>
          <w:sz w:val="25"/>
          <w:szCs w:val="25"/>
        </w:rPr>
        <w:t xml:space="preserve"> at p. 577 he also observed: "this is not a new problem, though our standard of drafting is such that it rarely emerges".</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21.   It is then true that, "when the words of a law extend not to an inconvenience rarely happening, but due to those which often happen, it is good reason not to strain the words further than they reach, by saying it is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and that the law intended quae </w:t>
      </w:r>
      <w:proofErr w:type="spellStart"/>
      <w:r w:rsidRPr="0025333F">
        <w:rPr>
          <w:rFonts w:ascii="Times New Roman" w:eastAsia="Times New Roman" w:hAnsi="Times New Roman" w:cs="Times New Roman"/>
          <w:sz w:val="25"/>
          <w:szCs w:val="25"/>
        </w:rPr>
        <w:t>frequentius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accidunt</w:t>
      </w:r>
      <w:proofErr w:type="spellEnd"/>
      <w:r w:rsidRPr="0025333F">
        <w:rPr>
          <w:rFonts w:ascii="Times New Roman" w:eastAsia="Times New Roman" w:hAnsi="Times New Roman" w:cs="Times New Roman"/>
          <w:sz w:val="25"/>
          <w:szCs w:val="25"/>
        </w:rPr>
        <w:t xml:space="preserve">." "But," on the other hand, "it is no reason, when the words of a law do enough extend to an inconvenience seldom happening, that they should not extend to it as well as if it happened more frequently, because it happens but seldom" (See </w:t>
      </w:r>
      <w:r w:rsidRPr="00513CC1">
        <w:rPr>
          <w:rFonts w:ascii="Times New Roman" w:eastAsia="Times New Roman" w:hAnsi="Times New Roman" w:cs="Times New Roman"/>
          <w:i/>
          <w:sz w:val="25"/>
          <w:szCs w:val="25"/>
        </w:rPr>
        <w:t>Fenton v. Hampton</w:t>
      </w:r>
      <w:r w:rsidR="00513CC1" w:rsidRPr="00513CC1">
        <w:rPr>
          <w:rFonts w:ascii="Times New Roman" w:eastAsia="Times New Roman" w:hAnsi="Times New Roman" w:cs="Times New Roman"/>
          <w:i/>
          <w:sz w:val="25"/>
          <w:szCs w:val="25"/>
          <w:vertAlign w:val="superscript"/>
        </w:rPr>
        <w:t>25</w:t>
      </w:r>
      <w:r w:rsidRPr="0025333F">
        <w:rPr>
          <w:rFonts w:ascii="Times New Roman" w:eastAsia="Times New Roman" w:hAnsi="Times New Roman" w:cs="Times New Roman"/>
          <w:sz w:val="25"/>
          <w:szCs w:val="25"/>
        </w:rPr>
        <w:t xml:space="preserve">). A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ought not to be created by interpretation, save in some case of strong necessity. Where, however, a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does really occur, either through the inadvertence of the legislature, or on the principle quod </w:t>
      </w:r>
      <w:proofErr w:type="spellStart"/>
      <w:r w:rsidRPr="0025333F">
        <w:rPr>
          <w:rFonts w:ascii="Times New Roman" w:eastAsia="Times New Roman" w:hAnsi="Times New Roman" w:cs="Times New Roman"/>
          <w:sz w:val="25"/>
          <w:szCs w:val="25"/>
        </w:rPr>
        <w:t>semel</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aut</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bis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existit</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proetereunt</w:t>
      </w:r>
      <w:proofErr w:type="spellEnd"/>
      <w:r w:rsidRPr="0025333F">
        <w:rPr>
          <w:rFonts w:ascii="Times New Roman" w:eastAsia="Times New Roman" w:hAnsi="Times New Roman" w:cs="Times New Roman"/>
          <w:sz w:val="25"/>
          <w:szCs w:val="25"/>
        </w:rPr>
        <w:t xml:space="preserve"> </w:t>
      </w:r>
      <w:r w:rsidRPr="0025333F">
        <w:rPr>
          <w:rFonts w:ascii="Times New Roman" w:eastAsia="Times New Roman" w:hAnsi="Times New Roman" w:cs="Times New Roman"/>
          <w:sz w:val="25"/>
          <w:szCs w:val="25"/>
        </w:rPr>
        <w:lastRenderedPageBreak/>
        <w:t xml:space="preserve">legislators, the rule is that the particular case, thus left </w:t>
      </w:r>
      <w:proofErr w:type="spellStart"/>
      <w:r w:rsidRPr="0025333F">
        <w:rPr>
          <w:rFonts w:ascii="Times New Roman" w:eastAsia="Times New Roman" w:hAnsi="Times New Roman" w:cs="Times New Roman"/>
          <w:sz w:val="25"/>
          <w:szCs w:val="25"/>
        </w:rPr>
        <w:t>unprovided</w:t>
      </w:r>
      <w:proofErr w:type="spellEnd"/>
      <w:r w:rsidRPr="0025333F">
        <w:rPr>
          <w:rFonts w:ascii="Times New Roman" w:eastAsia="Times New Roman" w:hAnsi="Times New Roman" w:cs="Times New Roman"/>
          <w:sz w:val="25"/>
          <w:szCs w:val="25"/>
        </w:rPr>
        <w:t xml:space="preserve"> for, must be disposed of according to the law as it existed before such statute -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et </w:t>
      </w:r>
      <w:proofErr w:type="spellStart"/>
      <w:r w:rsidRPr="0025333F">
        <w:rPr>
          <w:rFonts w:ascii="Times New Roman" w:eastAsia="Times New Roman" w:hAnsi="Times New Roman" w:cs="Times New Roman"/>
          <w:sz w:val="25"/>
          <w:szCs w:val="25"/>
        </w:rPr>
        <w:t>oblivioni</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datus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dispositioni</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communis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juris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relinquitur</w:t>
      </w:r>
      <w:proofErr w:type="spellEnd"/>
      <w:r w:rsidRPr="0025333F">
        <w:rPr>
          <w:rFonts w:ascii="Times New Roman" w:eastAsia="Times New Roman" w:hAnsi="Times New Roman" w:cs="Times New Roman"/>
          <w:sz w:val="25"/>
          <w:szCs w:val="25"/>
        </w:rPr>
        <w:t xml:space="preserve">; "a casus </w:t>
      </w:r>
      <w:proofErr w:type="spellStart"/>
      <w:r w:rsidRPr="0025333F">
        <w:rPr>
          <w:rFonts w:ascii="Times New Roman" w:eastAsia="Times New Roman" w:hAnsi="Times New Roman" w:cs="Times New Roman"/>
          <w:sz w:val="25"/>
          <w:szCs w:val="25"/>
        </w:rPr>
        <w:t>omissus</w:t>
      </w:r>
      <w:proofErr w:type="spellEnd"/>
      <w:r w:rsidRPr="0025333F">
        <w:rPr>
          <w:rFonts w:ascii="Times New Roman" w:eastAsia="Times New Roman" w:hAnsi="Times New Roman" w:cs="Times New Roman"/>
          <w:sz w:val="25"/>
          <w:szCs w:val="25"/>
        </w:rPr>
        <w:t xml:space="preserve">," observed </w:t>
      </w:r>
      <w:proofErr w:type="spellStart"/>
      <w:r w:rsidRPr="0025333F">
        <w:rPr>
          <w:rFonts w:ascii="Times New Roman" w:eastAsia="Times New Roman" w:hAnsi="Times New Roman" w:cs="Times New Roman"/>
          <w:sz w:val="25"/>
          <w:szCs w:val="25"/>
        </w:rPr>
        <w:t>Buller</w:t>
      </w:r>
      <w:proofErr w:type="spellEnd"/>
      <w:r w:rsidRPr="0025333F">
        <w:rPr>
          <w:rFonts w:ascii="Times New Roman" w:eastAsia="Times New Roman" w:hAnsi="Times New Roman" w:cs="Times New Roman"/>
          <w:sz w:val="25"/>
          <w:szCs w:val="25"/>
        </w:rPr>
        <w:t xml:space="preserve">, J. in </w:t>
      </w:r>
      <w:r w:rsidRPr="00513CC1">
        <w:rPr>
          <w:rFonts w:ascii="Times New Roman" w:eastAsia="Times New Roman" w:hAnsi="Times New Roman" w:cs="Times New Roman"/>
          <w:i/>
          <w:sz w:val="25"/>
          <w:szCs w:val="25"/>
        </w:rPr>
        <w:t>Jones v. Smart</w:t>
      </w:r>
      <w:r w:rsidR="00513CC1" w:rsidRPr="00513CC1">
        <w:rPr>
          <w:rFonts w:ascii="Times New Roman" w:eastAsia="Times New Roman" w:hAnsi="Times New Roman" w:cs="Times New Roman"/>
          <w:i/>
          <w:sz w:val="25"/>
          <w:szCs w:val="25"/>
          <w:vertAlign w:val="superscript"/>
        </w:rPr>
        <w:t>26</w:t>
      </w:r>
      <w:r w:rsidRPr="0025333F">
        <w:rPr>
          <w:rFonts w:ascii="Times New Roman" w:eastAsia="Times New Roman" w:hAnsi="Times New Roman" w:cs="Times New Roman"/>
          <w:sz w:val="25"/>
          <w:szCs w:val="25"/>
        </w:rPr>
        <w:t>, "can in no case be supplied by a court of law, for that would be to make laws."</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 22.   The golden rule for construing wills, statutes, and, in fact, all written instruments has been thus stated: "The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(See </w:t>
      </w:r>
      <w:r w:rsidRPr="00513CC1">
        <w:rPr>
          <w:rFonts w:ascii="Times New Roman" w:eastAsia="Times New Roman" w:hAnsi="Times New Roman" w:cs="Times New Roman"/>
          <w:i/>
          <w:sz w:val="25"/>
          <w:szCs w:val="25"/>
        </w:rPr>
        <w:t>Grey v. Pearson</w:t>
      </w:r>
      <w:r w:rsidR="00513CC1" w:rsidRPr="00513CC1">
        <w:rPr>
          <w:rFonts w:ascii="Times New Roman" w:eastAsia="Times New Roman" w:hAnsi="Times New Roman" w:cs="Times New Roman"/>
          <w:i/>
          <w:sz w:val="25"/>
          <w:szCs w:val="25"/>
          <w:vertAlign w:val="superscript"/>
        </w:rPr>
        <w:t>27</w:t>
      </w:r>
      <w:r w:rsidRPr="0025333F">
        <w:rPr>
          <w:rFonts w:ascii="Times New Roman" w:eastAsia="Times New Roman" w:hAnsi="Times New Roman" w:cs="Times New Roman"/>
          <w:sz w:val="25"/>
          <w:szCs w:val="25"/>
        </w:rPr>
        <w:t>). The latter part of this "golden rule" must, however, be applied with much caution. "</w:t>
      </w:r>
      <w:proofErr w:type="gramStart"/>
      <w:r w:rsidRPr="0025333F">
        <w:rPr>
          <w:rFonts w:ascii="Times New Roman" w:eastAsia="Times New Roman" w:hAnsi="Times New Roman" w:cs="Times New Roman"/>
          <w:sz w:val="25"/>
          <w:szCs w:val="25"/>
        </w:rPr>
        <w:t>if</w:t>
      </w:r>
      <w:proofErr w:type="gramEnd"/>
      <w:r w:rsidRPr="0025333F">
        <w:rPr>
          <w:rFonts w:ascii="Times New Roman" w:eastAsia="Times New Roman" w:hAnsi="Times New Roman" w:cs="Times New Roman"/>
          <w:sz w:val="25"/>
          <w:szCs w:val="25"/>
        </w:rPr>
        <w:t xml:space="preserve">," remarked Jervis, C.J., "the precise words used are plain and unambiguous in our judgment, we are bound to construe them in their ordinary sense, even though it lead, in our view of the case, to an absurdity or manifest injustice. Words may be modified or varied where their import is doubtful or obscure. But we assume the functions of legislators when we depart from the ordinary meaning of the precise words used, merely because we see, or fancy we see, an absurdity or manifest injustice from an adherence to their literal meaning" (See </w:t>
      </w:r>
      <w:proofErr w:type="spellStart"/>
      <w:r w:rsidRPr="00513CC1">
        <w:rPr>
          <w:rFonts w:ascii="Times New Roman" w:eastAsia="Times New Roman" w:hAnsi="Times New Roman" w:cs="Times New Roman"/>
          <w:i/>
          <w:sz w:val="25"/>
          <w:szCs w:val="25"/>
        </w:rPr>
        <w:t>Abley</w:t>
      </w:r>
      <w:proofErr w:type="spellEnd"/>
      <w:r w:rsidRPr="00513CC1">
        <w:rPr>
          <w:rFonts w:ascii="Times New Roman" w:eastAsia="Times New Roman" w:hAnsi="Times New Roman" w:cs="Times New Roman"/>
          <w:i/>
          <w:sz w:val="25"/>
          <w:szCs w:val="25"/>
        </w:rPr>
        <w:t xml:space="preserve"> v. Dale</w:t>
      </w:r>
      <w:r w:rsidR="00513CC1" w:rsidRPr="00513CC1">
        <w:rPr>
          <w:rFonts w:ascii="Times New Roman" w:eastAsia="Times New Roman" w:hAnsi="Times New Roman" w:cs="Times New Roman"/>
          <w:i/>
          <w:sz w:val="25"/>
          <w:szCs w:val="25"/>
          <w:vertAlign w:val="superscript"/>
        </w:rPr>
        <w:t>28</w:t>
      </w:r>
      <w:r w:rsidRPr="0025333F">
        <w:rPr>
          <w:rFonts w:ascii="Times New Roman" w:eastAsia="Times New Roman" w:hAnsi="Times New Roman" w:cs="Times New Roman"/>
          <w:sz w:val="25"/>
          <w:szCs w:val="25"/>
        </w:rPr>
        <w:t xml:space="preserve">).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23.   At this juncture, it would be necessary to take note of a maxim "Ad </w:t>
      </w:r>
      <w:proofErr w:type="spellStart"/>
      <w:r w:rsidRPr="0025333F">
        <w:rPr>
          <w:rFonts w:ascii="Times New Roman" w:eastAsia="Times New Roman" w:hAnsi="Times New Roman" w:cs="Times New Roman"/>
          <w:sz w:val="25"/>
          <w:szCs w:val="25"/>
        </w:rPr>
        <w:t>ea</w:t>
      </w:r>
      <w:proofErr w:type="spellEnd"/>
      <w:r w:rsidRPr="0025333F">
        <w:rPr>
          <w:rFonts w:ascii="Times New Roman" w:eastAsia="Times New Roman" w:hAnsi="Times New Roman" w:cs="Times New Roman"/>
          <w:sz w:val="25"/>
          <w:szCs w:val="25"/>
        </w:rPr>
        <w:t xml:space="preserve"> quae </w:t>
      </w:r>
      <w:proofErr w:type="spellStart"/>
      <w:r w:rsidRPr="0025333F">
        <w:rPr>
          <w:rFonts w:ascii="Times New Roman" w:eastAsia="Times New Roman" w:hAnsi="Times New Roman" w:cs="Times New Roman"/>
          <w:sz w:val="25"/>
          <w:szCs w:val="25"/>
        </w:rPr>
        <w:t>frequentius</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accidunt</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jura</w:t>
      </w:r>
      <w:proofErr w:type="spellEnd"/>
      <w:r w:rsidRPr="0025333F">
        <w:rPr>
          <w:rFonts w:ascii="Times New Roman" w:eastAsia="Times New Roman" w:hAnsi="Times New Roman" w:cs="Times New Roman"/>
          <w:sz w:val="25"/>
          <w:szCs w:val="25"/>
        </w:rPr>
        <w:t xml:space="preserve"> </w:t>
      </w:r>
      <w:proofErr w:type="spellStart"/>
      <w:r w:rsidRPr="0025333F">
        <w:rPr>
          <w:rFonts w:ascii="Times New Roman" w:eastAsia="Times New Roman" w:hAnsi="Times New Roman" w:cs="Times New Roman"/>
          <w:sz w:val="25"/>
          <w:szCs w:val="25"/>
        </w:rPr>
        <w:t>adaptantur</w:t>
      </w:r>
      <w:proofErr w:type="spellEnd"/>
      <w:r w:rsidRPr="0025333F">
        <w:rPr>
          <w:rFonts w:ascii="Times New Roman" w:eastAsia="Times New Roman" w:hAnsi="Times New Roman" w:cs="Times New Roman"/>
          <w:sz w:val="25"/>
          <w:szCs w:val="25"/>
        </w:rPr>
        <w:t xml:space="preserve">" (The laws are adapted to those cases which more frequently occur). The above position was highlighted in </w:t>
      </w:r>
      <w:proofErr w:type="spellStart"/>
      <w:r w:rsidRPr="00513CC1">
        <w:rPr>
          <w:rFonts w:ascii="Times New Roman" w:eastAsia="Times New Roman" w:hAnsi="Times New Roman" w:cs="Times New Roman"/>
          <w:i/>
          <w:sz w:val="25"/>
          <w:szCs w:val="25"/>
        </w:rPr>
        <w:t>Maulavi</w:t>
      </w:r>
      <w:proofErr w:type="spellEnd"/>
      <w:r w:rsidRPr="00513CC1">
        <w:rPr>
          <w:rFonts w:ascii="Times New Roman" w:eastAsia="Times New Roman" w:hAnsi="Times New Roman" w:cs="Times New Roman"/>
          <w:i/>
          <w:sz w:val="25"/>
          <w:szCs w:val="25"/>
        </w:rPr>
        <w:t xml:space="preserve"> Hussein Haji Abraham </w:t>
      </w:r>
      <w:proofErr w:type="spellStart"/>
      <w:r w:rsidRPr="00513CC1">
        <w:rPr>
          <w:rFonts w:ascii="Times New Roman" w:eastAsia="Times New Roman" w:hAnsi="Times New Roman" w:cs="Times New Roman"/>
          <w:i/>
          <w:sz w:val="25"/>
          <w:szCs w:val="25"/>
        </w:rPr>
        <w:t>Umarji</w:t>
      </w:r>
      <w:proofErr w:type="spellEnd"/>
      <w:r w:rsidRPr="00513CC1">
        <w:rPr>
          <w:rFonts w:ascii="Times New Roman" w:eastAsia="Times New Roman" w:hAnsi="Times New Roman" w:cs="Times New Roman"/>
          <w:i/>
          <w:sz w:val="25"/>
          <w:szCs w:val="25"/>
        </w:rPr>
        <w:t xml:space="preserve"> v. State of Gujarat</w:t>
      </w:r>
      <w:r w:rsidR="00513CC1" w:rsidRPr="00513CC1">
        <w:rPr>
          <w:rFonts w:ascii="Times New Roman" w:eastAsia="Times New Roman" w:hAnsi="Times New Roman" w:cs="Times New Roman"/>
          <w:i/>
          <w:sz w:val="25"/>
          <w:szCs w:val="25"/>
          <w:vertAlign w:val="superscript"/>
        </w:rPr>
        <w:t>29</w:t>
      </w:r>
      <w:r w:rsidRPr="0025333F">
        <w:rPr>
          <w:rFonts w:ascii="Times New Roman" w:eastAsia="Times New Roman" w:hAnsi="Times New Roman" w:cs="Times New Roman"/>
          <w:sz w:val="25"/>
          <w:szCs w:val="25"/>
        </w:rPr>
        <w:t>).</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xml:space="preserve">24.   Since there was no challenge at any point of time by the appellant to the proviso to sub-section (3) of Section 9 on the alleged ground of lack of legislative competence, obviously the High Court could not have dealt with that issue. Till now also, no such challenge has been made by the appellant. </w:t>
      </w:r>
      <w:proofErr w:type="gramStart"/>
      <w:r w:rsidRPr="0025333F">
        <w:rPr>
          <w:rFonts w:ascii="Times New Roman" w:eastAsia="Times New Roman" w:hAnsi="Times New Roman" w:cs="Times New Roman"/>
          <w:sz w:val="25"/>
          <w:szCs w:val="25"/>
        </w:rPr>
        <w:t>That being so, we find no scope for interference with the order passed by the High Court.</w:t>
      </w:r>
      <w:proofErr w:type="gramEnd"/>
      <w:r w:rsidRPr="0025333F">
        <w:rPr>
          <w:rFonts w:ascii="Times New Roman" w:eastAsia="Times New Roman" w:hAnsi="Times New Roman" w:cs="Times New Roman"/>
          <w:sz w:val="25"/>
          <w:szCs w:val="25"/>
        </w:rPr>
        <w:t xml:space="preserve"> In the circumstances indicated above, there is no need to answer the reference made. If and when challenge is made to the legislative competence to enact proviso to sub-Section (3) of Section 9, it goes without saying, the same shall be considered in its proper perspective and in accordance with law.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 </w:t>
      </w:r>
    </w:p>
    <w:p w:rsidR="00E141AC" w:rsidRPr="0025333F" w:rsidRDefault="00E141AC" w:rsidP="0025333F">
      <w:pPr>
        <w:spacing w:after="0" w:line="240" w:lineRule="auto"/>
        <w:jc w:val="both"/>
        <w:rPr>
          <w:rFonts w:ascii="Times New Roman" w:eastAsia="Times New Roman" w:hAnsi="Times New Roman" w:cs="Times New Roman"/>
          <w:sz w:val="25"/>
          <w:szCs w:val="25"/>
        </w:rPr>
      </w:pPr>
      <w:r w:rsidRPr="0025333F">
        <w:rPr>
          <w:rFonts w:ascii="Times New Roman" w:eastAsia="Times New Roman" w:hAnsi="Times New Roman" w:cs="Times New Roman"/>
          <w:sz w:val="25"/>
          <w:szCs w:val="25"/>
        </w:rPr>
        <w:t>25.   The appeal is disposed of without any order as to costs.</w:t>
      </w:r>
    </w:p>
    <w:p w:rsidR="00513CC1" w:rsidRDefault="00513CC1" w:rsidP="0025333F">
      <w:pPr>
        <w:spacing w:after="0" w:line="240" w:lineRule="auto"/>
        <w:rPr>
          <w:rFonts w:ascii="Times New Roman" w:eastAsia="Times New Roman" w:hAnsi="Times New Roman" w:cs="Times New Roman"/>
          <w:sz w:val="25"/>
          <w:szCs w:val="25"/>
          <w:vertAlign w:val="superscript"/>
        </w:rPr>
      </w:pP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1</w:t>
      </w:r>
      <w:r w:rsidRPr="00ED163C">
        <w:rPr>
          <w:rFonts w:ascii="Times New Roman" w:eastAsia="Times New Roman" w:hAnsi="Times New Roman" w:cs="Times New Roman"/>
          <w:i/>
        </w:rPr>
        <w:t xml:space="preserve">1880 5 QBD 170 </w:t>
      </w:r>
      <w:r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w:t>
      </w:r>
      <w:r w:rsidRPr="00ED163C">
        <w:rPr>
          <w:rFonts w:ascii="Times New Roman" w:eastAsia="Times New Roman" w:hAnsi="Times New Roman" w:cs="Times New Roman"/>
          <w:i/>
        </w:rPr>
        <w:t xml:space="preserve">AIR 1961 SC 1596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3</w:t>
      </w:r>
      <w:r w:rsidRPr="00ED163C">
        <w:rPr>
          <w:rFonts w:ascii="Times New Roman" w:eastAsia="Times New Roman" w:hAnsi="Times New Roman" w:cs="Times New Roman"/>
          <w:i/>
        </w:rPr>
        <w:t xml:space="preserve">AIR 1965 SC 1728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4</w:t>
      </w:r>
      <w:r w:rsidRPr="00ED163C">
        <w:rPr>
          <w:rFonts w:ascii="Times New Roman" w:eastAsia="Times New Roman" w:hAnsi="Times New Roman" w:cs="Times New Roman"/>
          <w:i/>
        </w:rPr>
        <w:t>1897 AC 647 HL</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5</w:t>
      </w:r>
      <w:r w:rsidRPr="00ED163C">
        <w:rPr>
          <w:rFonts w:ascii="Times New Roman" w:eastAsia="Times New Roman" w:hAnsi="Times New Roman" w:cs="Times New Roman"/>
          <w:i/>
        </w:rPr>
        <w:t xml:space="preserve">AIR 1991 SC 1406 </w:t>
      </w:r>
      <w:r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6</w:t>
      </w:r>
      <w:r w:rsidRPr="00ED163C">
        <w:rPr>
          <w:rFonts w:ascii="Times New Roman" w:eastAsia="Times New Roman" w:hAnsi="Times New Roman" w:cs="Times New Roman"/>
          <w:i/>
        </w:rPr>
        <w:t>AIR 1991 SC 1538</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7</w:t>
      </w:r>
      <w:r w:rsidRPr="00ED163C">
        <w:rPr>
          <w:rFonts w:ascii="Times New Roman" w:eastAsia="Times New Roman" w:hAnsi="Times New Roman" w:cs="Times New Roman"/>
          <w:i/>
        </w:rPr>
        <w:t>1994 5 SCC 672</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8</w:t>
      </w:r>
      <w:r w:rsidRPr="00ED163C">
        <w:rPr>
          <w:rFonts w:ascii="Times New Roman" w:eastAsia="Times New Roman" w:hAnsi="Times New Roman" w:cs="Times New Roman"/>
          <w:i/>
        </w:rPr>
        <w:t xml:space="preserve">1922 1 A.C. 256 </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9</w:t>
      </w:r>
      <w:r w:rsidRPr="00ED163C">
        <w:rPr>
          <w:rFonts w:ascii="Times New Roman" w:eastAsia="Times New Roman" w:hAnsi="Times New Roman" w:cs="Times New Roman"/>
          <w:i/>
        </w:rPr>
        <w:t xml:space="preserve">9 B. &amp; C. 836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10</w:t>
      </w:r>
      <w:r w:rsidRPr="00ED163C">
        <w:rPr>
          <w:rFonts w:ascii="Times New Roman" w:eastAsia="Times New Roman" w:hAnsi="Times New Roman" w:cs="Times New Roman"/>
          <w:i/>
        </w:rPr>
        <w:t xml:space="preserve">25 Q.B.D. 285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11</w:t>
      </w:r>
      <w:r w:rsidRPr="00ED163C">
        <w:rPr>
          <w:rFonts w:ascii="Times New Roman" w:eastAsia="Times New Roman" w:hAnsi="Times New Roman" w:cs="Times New Roman"/>
          <w:i/>
        </w:rPr>
        <w:t xml:space="preserve">1940 A.C. 206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12</w:t>
      </w:r>
      <w:r w:rsidRPr="00ED163C">
        <w:rPr>
          <w:rFonts w:ascii="Times New Roman" w:eastAsia="Times New Roman" w:hAnsi="Times New Roman" w:cs="Times New Roman"/>
          <w:i/>
        </w:rPr>
        <w:t xml:space="preserve">2003 4 SCALE 197 </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13</w:t>
      </w:r>
      <w:r w:rsidRPr="00ED163C">
        <w:rPr>
          <w:rFonts w:ascii="Times New Roman" w:eastAsia="Times New Roman" w:hAnsi="Times New Roman" w:cs="Times New Roman"/>
          <w:i/>
        </w:rPr>
        <w:t>AIR 1998 SC 74</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14</w:t>
      </w:r>
      <w:r w:rsidRPr="00ED163C">
        <w:rPr>
          <w:rFonts w:ascii="Times New Roman" w:eastAsia="Times New Roman" w:hAnsi="Times New Roman" w:cs="Times New Roman"/>
          <w:i/>
        </w:rPr>
        <w:t xml:space="preserve">1846 6 Moore PC 1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15</w:t>
      </w:r>
      <w:r w:rsidRPr="00ED163C">
        <w:rPr>
          <w:rFonts w:ascii="Times New Roman" w:eastAsia="Times New Roman" w:hAnsi="Times New Roman" w:cs="Times New Roman"/>
          <w:i/>
        </w:rPr>
        <w:t xml:space="preserve">JT 1998 2 SC 253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16</w:t>
      </w:r>
      <w:r w:rsidRPr="00ED163C">
        <w:rPr>
          <w:rFonts w:ascii="Times New Roman" w:eastAsia="Times New Roman" w:hAnsi="Times New Roman" w:cs="Times New Roman"/>
          <w:i/>
        </w:rPr>
        <w:t>1978 1 All ER 948 HL</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17</w:t>
      </w:r>
      <w:r w:rsidRPr="00ED163C">
        <w:rPr>
          <w:rFonts w:ascii="Times New Roman" w:eastAsia="Times New Roman" w:hAnsi="Times New Roman" w:cs="Times New Roman"/>
          <w:i/>
        </w:rPr>
        <w:t xml:space="preserve">1910 AC 445 HL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18</w:t>
      </w:r>
      <w:r w:rsidRPr="00ED163C">
        <w:rPr>
          <w:rFonts w:ascii="Times New Roman" w:eastAsia="Times New Roman" w:hAnsi="Times New Roman" w:cs="Times New Roman"/>
          <w:i/>
        </w:rPr>
        <w:t xml:space="preserve">AIR 1962 SC 847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19</w:t>
      </w:r>
      <w:r w:rsidRPr="00ED163C">
        <w:rPr>
          <w:rFonts w:ascii="Times New Roman" w:eastAsia="Times New Roman" w:hAnsi="Times New Roman" w:cs="Times New Roman"/>
          <w:i/>
        </w:rPr>
        <w:t xml:space="preserve">218 FR 547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20</w:t>
      </w:r>
      <w:r w:rsidRPr="00ED163C">
        <w:rPr>
          <w:rFonts w:ascii="Times New Roman" w:eastAsia="Times New Roman" w:hAnsi="Times New Roman" w:cs="Times New Roman"/>
          <w:i/>
        </w:rPr>
        <w:t xml:space="preserve">AIR 1990 SC 981 </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21</w:t>
      </w:r>
      <w:r w:rsidRPr="00ED163C">
        <w:rPr>
          <w:rFonts w:ascii="Times New Roman" w:eastAsia="Times New Roman" w:hAnsi="Times New Roman" w:cs="Times New Roman"/>
          <w:i/>
        </w:rPr>
        <w:t xml:space="preserve">AIR 1977 SC 842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22</w:t>
      </w:r>
      <w:r w:rsidRPr="00ED163C">
        <w:rPr>
          <w:rFonts w:ascii="Times New Roman" w:eastAsia="Times New Roman" w:hAnsi="Times New Roman" w:cs="Times New Roman"/>
          <w:i/>
        </w:rPr>
        <w:t xml:space="preserve">2000 5 SCC 515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23</w:t>
      </w:r>
      <w:r w:rsidRPr="00ED163C">
        <w:rPr>
          <w:rFonts w:ascii="Times New Roman" w:eastAsia="Times New Roman" w:hAnsi="Times New Roman" w:cs="Times New Roman"/>
          <w:i/>
        </w:rPr>
        <w:t xml:space="preserve">1966 1 QB 878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24</w:t>
      </w:r>
      <w:r w:rsidRPr="00ED163C">
        <w:rPr>
          <w:rFonts w:ascii="Times New Roman" w:eastAsia="Times New Roman" w:hAnsi="Times New Roman" w:cs="Times New Roman"/>
          <w:i/>
        </w:rPr>
        <w:t xml:space="preserve">1966 AC 557 </w:t>
      </w:r>
    </w:p>
    <w:p w:rsidR="00513CC1" w:rsidRPr="00ED163C" w:rsidRDefault="00513CC1" w:rsidP="0025333F">
      <w:pPr>
        <w:spacing w:after="0" w:line="240" w:lineRule="auto"/>
        <w:rPr>
          <w:rFonts w:ascii="Times New Roman" w:eastAsia="Times New Roman" w:hAnsi="Times New Roman" w:cs="Times New Roman"/>
          <w:i/>
        </w:rPr>
      </w:pPr>
      <w:r w:rsidRPr="00ED163C">
        <w:rPr>
          <w:rFonts w:ascii="Times New Roman" w:eastAsia="Times New Roman" w:hAnsi="Times New Roman" w:cs="Times New Roman"/>
          <w:i/>
          <w:vertAlign w:val="superscript"/>
        </w:rPr>
        <w:t>25</w:t>
      </w:r>
      <w:r w:rsidRPr="00ED163C">
        <w:rPr>
          <w:rFonts w:ascii="Times New Roman" w:eastAsia="Times New Roman" w:hAnsi="Times New Roman" w:cs="Times New Roman"/>
          <w:i/>
        </w:rPr>
        <w:t xml:space="preserve">11 Moore, P.C. 345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26</w:t>
      </w:r>
      <w:r w:rsidRPr="00ED163C">
        <w:rPr>
          <w:rFonts w:ascii="Times New Roman" w:eastAsia="Times New Roman" w:hAnsi="Times New Roman" w:cs="Times New Roman"/>
          <w:i/>
        </w:rPr>
        <w:t xml:space="preserve">1 T.R. 52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27</w:t>
      </w:r>
      <w:r w:rsidRPr="00ED163C">
        <w:rPr>
          <w:rFonts w:ascii="Times New Roman" w:eastAsia="Times New Roman" w:hAnsi="Times New Roman" w:cs="Times New Roman"/>
          <w:i/>
        </w:rPr>
        <w:t xml:space="preserve">6 H.L. </w:t>
      </w:r>
      <w:proofErr w:type="spellStart"/>
      <w:proofErr w:type="gramStart"/>
      <w:r w:rsidRPr="00ED163C">
        <w:rPr>
          <w:rFonts w:ascii="Times New Roman" w:eastAsia="Times New Roman" w:hAnsi="Times New Roman" w:cs="Times New Roman"/>
          <w:i/>
        </w:rPr>
        <w:t>Cas</w:t>
      </w:r>
      <w:proofErr w:type="spellEnd"/>
      <w:proofErr w:type="gramEnd"/>
      <w:r w:rsidRPr="00ED163C">
        <w:rPr>
          <w:rFonts w:ascii="Times New Roman" w:eastAsia="Times New Roman" w:hAnsi="Times New Roman" w:cs="Times New Roman"/>
          <w:i/>
        </w:rPr>
        <w:t xml:space="preserve">. 61 </w:t>
      </w:r>
      <w:r w:rsidR="00ED163C" w:rsidRPr="00ED163C">
        <w:rPr>
          <w:rFonts w:ascii="Times New Roman" w:eastAsia="Times New Roman" w:hAnsi="Times New Roman" w:cs="Times New Roman"/>
          <w:i/>
        </w:rPr>
        <w:t xml:space="preserve">                  </w:t>
      </w:r>
      <w:r w:rsidRPr="00ED163C">
        <w:rPr>
          <w:rFonts w:ascii="Times New Roman" w:eastAsia="Times New Roman" w:hAnsi="Times New Roman" w:cs="Times New Roman"/>
          <w:i/>
          <w:vertAlign w:val="superscript"/>
        </w:rPr>
        <w:t>28</w:t>
      </w:r>
      <w:r w:rsidRPr="00ED163C">
        <w:rPr>
          <w:rFonts w:ascii="Times New Roman" w:eastAsia="Times New Roman" w:hAnsi="Times New Roman" w:cs="Times New Roman"/>
          <w:i/>
        </w:rPr>
        <w:t xml:space="preserve">11, C.B. 378 </w:t>
      </w:r>
    </w:p>
    <w:p w:rsidR="00DB43DF" w:rsidRPr="00ED163C" w:rsidRDefault="00513CC1" w:rsidP="0025333F">
      <w:pPr>
        <w:spacing w:after="0" w:line="240" w:lineRule="auto"/>
        <w:rPr>
          <w:rFonts w:ascii="Times New Roman" w:hAnsi="Times New Roman" w:cs="Times New Roman"/>
          <w:i/>
        </w:rPr>
      </w:pPr>
      <w:r w:rsidRPr="00ED163C">
        <w:rPr>
          <w:rFonts w:ascii="Times New Roman" w:eastAsia="Times New Roman" w:hAnsi="Times New Roman" w:cs="Times New Roman"/>
          <w:i/>
          <w:vertAlign w:val="superscript"/>
        </w:rPr>
        <w:t>29</w:t>
      </w:r>
      <w:r w:rsidRPr="00ED163C">
        <w:rPr>
          <w:rFonts w:ascii="Times New Roman" w:eastAsia="Times New Roman" w:hAnsi="Times New Roman" w:cs="Times New Roman"/>
          <w:i/>
        </w:rPr>
        <w:t>2004 6 SCC 672</w:t>
      </w:r>
    </w:p>
    <w:sectPr w:rsidR="00DB43DF" w:rsidRPr="00ED16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02" w:rsidRDefault="009E5D02" w:rsidP="00DA0365">
      <w:pPr>
        <w:spacing w:after="0" w:line="240" w:lineRule="auto"/>
      </w:pPr>
      <w:r>
        <w:separator/>
      </w:r>
    </w:p>
  </w:endnote>
  <w:endnote w:type="continuationSeparator" w:id="0">
    <w:p w:rsidR="009E5D02" w:rsidRDefault="009E5D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16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02" w:rsidRDefault="009E5D02" w:rsidP="00DA0365">
      <w:pPr>
        <w:spacing w:after="0" w:line="240" w:lineRule="auto"/>
      </w:pPr>
      <w:r>
        <w:separator/>
      </w:r>
    </w:p>
  </w:footnote>
  <w:footnote w:type="continuationSeparator" w:id="0">
    <w:p w:rsidR="009E5D02" w:rsidRDefault="009E5D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2CF"/>
    <w:rsid w:val="0025333F"/>
    <w:rsid w:val="00287C00"/>
    <w:rsid w:val="00513CC1"/>
    <w:rsid w:val="00531F8A"/>
    <w:rsid w:val="005C7F20"/>
    <w:rsid w:val="008D320C"/>
    <w:rsid w:val="009E5D02"/>
    <w:rsid w:val="00DA0365"/>
    <w:rsid w:val="00E141AC"/>
    <w:rsid w:val="00ED163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4508">
      <w:bodyDiv w:val="1"/>
      <w:marLeft w:val="0"/>
      <w:marRight w:val="0"/>
      <w:marTop w:val="0"/>
      <w:marBottom w:val="0"/>
      <w:divBdr>
        <w:top w:val="none" w:sz="0" w:space="0" w:color="auto"/>
        <w:left w:val="none" w:sz="0" w:space="0" w:color="auto"/>
        <w:bottom w:val="none" w:sz="0" w:space="0" w:color="auto"/>
        <w:right w:val="none" w:sz="0" w:space="0" w:color="auto"/>
      </w:divBdr>
      <w:divsChild>
        <w:div w:id="68552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2016-03-27T06:46:00Z</dcterms:created>
  <dcterms:modified xsi:type="dcterms:W3CDTF">2016-03-28T18:13:00Z</dcterms:modified>
</cp:coreProperties>
</file>