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AF8" w:rsidRPr="001310CD" w:rsidRDefault="002F0AF8" w:rsidP="001310CD">
      <w:pPr>
        <w:spacing w:after="0" w:line="240" w:lineRule="auto"/>
        <w:jc w:val="center"/>
        <w:rPr>
          <w:rFonts w:ascii="Times New Roman" w:eastAsia="Times New Roman" w:hAnsi="Times New Roman" w:cs="Times New Roman"/>
          <w:b/>
          <w:sz w:val="25"/>
          <w:szCs w:val="25"/>
        </w:rPr>
      </w:pPr>
      <w:bookmarkStart w:id="0" w:name="_GoBack"/>
      <w:bookmarkEnd w:id="0"/>
      <w:r w:rsidRPr="001310CD">
        <w:rPr>
          <w:rFonts w:ascii="Times New Roman" w:eastAsia="Times New Roman" w:hAnsi="Times New Roman" w:cs="Times New Roman"/>
          <w:b/>
          <w:sz w:val="25"/>
          <w:szCs w:val="25"/>
        </w:rPr>
        <w:t>SUPREME COURT OF INDIA</w:t>
      </w:r>
    </w:p>
    <w:p w:rsidR="002F0AF8" w:rsidRPr="001310CD" w:rsidRDefault="002F0AF8" w:rsidP="001310CD">
      <w:pPr>
        <w:spacing w:after="0" w:line="240" w:lineRule="auto"/>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State of Andhra Pradesh</w:t>
      </w:r>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Vs.</w:t>
      </w:r>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center"/>
        <w:rPr>
          <w:rFonts w:ascii="Times New Roman" w:eastAsia="Times New Roman" w:hAnsi="Times New Roman" w:cs="Times New Roman"/>
          <w:sz w:val="25"/>
          <w:szCs w:val="25"/>
        </w:rPr>
      </w:pPr>
      <w:proofErr w:type="spellStart"/>
      <w:r w:rsidRPr="001310CD">
        <w:rPr>
          <w:rFonts w:ascii="Times New Roman" w:eastAsia="Times New Roman" w:hAnsi="Times New Roman" w:cs="Times New Roman"/>
          <w:sz w:val="25"/>
          <w:szCs w:val="25"/>
        </w:rPr>
        <w:t>Bajjoori</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Kanthaiah</w:t>
      </w:r>
      <w:proofErr w:type="spellEnd"/>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S.L.P</w:t>
      </w:r>
      <w:proofErr w:type="gramStart"/>
      <w:r w:rsidRPr="001310CD">
        <w:rPr>
          <w:rFonts w:ascii="Times New Roman" w:eastAsia="Times New Roman" w:hAnsi="Times New Roman" w:cs="Times New Roman"/>
          <w:sz w:val="25"/>
          <w:szCs w:val="25"/>
        </w:rPr>
        <w:t>.(</w:t>
      </w:r>
      <w:proofErr w:type="spellStart"/>
      <w:proofErr w:type="gramEnd"/>
      <w:r w:rsidRPr="001310CD">
        <w:rPr>
          <w:rFonts w:ascii="Times New Roman" w:eastAsia="Times New Roman" w:hAnsi="Times New Roman" w:cs="Times New Roman"/>
          <w:sz w:val="25"/>
          <w:szCs w:val="25"/>
        </w:rPr>
        <w:t>Crl</w:t>
      </w:r>
      <w:proofErr w:type="spellEnd"/>
      <w:r w:rsidRPr="001310CD">
        <w:rPr>
          <w:rFonts w:ascii="Times New Roman" w:eastAsia="Times New Roman" w:hAnsi="Times New Roman" w:cs="Times New Roman"/>
          <w:sz w:val="25"/>
          <w:szCs w:val="25"/>
        </w:rPr>
        <w:t>.) No.2625 of 2006</w:t>
      </w:r>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center"/>
        <w:rPr>
          <w:rFonts w:ascii="Times New Roman" w:eastAsia="Times New Roman" w:hAnsi="Times New Roman" w:cs="Times New Roman"/>
          <w:sz w:val="25"/>
          <w:szCs w:val="25"/>
        </w:rPr>
      </w:pPr>
      <w:proofErr w:type="gramStart"/>
      <w:r w:rsidRPr="001310CD">
        <w:rPr>
          <w:rFonts w:ascii="Times New Roman" w:eastAsia="Times New Roman" w:hAnsi="Times New Roman" w:cs="Times New Roman"/>
          <w:sz w:val="25"/>
          <w:szCs w:val="25"/>
        </w:rPr>
        <w:t xml:space="preserve">(Dr. </w:t>
      </w:r>
      <w:proofErr w:type="spellStart"/>
      <w:r w:rsidRPr="001310CD">
        <w:rPr>
          <w:rFonts w:ascii="Times New Roman" w:eastAsia="Times New Roman" w:hAnsi="Times New Roman" w:cs="Times New Roman"/>
          <w:sz w:val="25"/>
          <w:szCs w:val="25"/>
        </w:rPr>
        <w:t>Arijit</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Pasayat</w:t>
      </w:r>
      <w:proofErr w:type="spellEnd"/>
      <w:r w:rsidRPr="001310CD">
        <w:rPr>
          <w:rFonts w:ascii="Times New Roman" w:eastAsia="Times New Roman" w:hAnsi="Times New Roman" w:cs="Times New Roman"/>
          <w:sz w:val="25"/>
          <w:szCs w:val="25"/>
        </w:rPr>
        <w:t xml:space="preserve"> and Dr. </w:t>
      </w:r>
      <w:proofErr w:type="spellStart"/>
      <w:r w:rsidRPr="001310CD">
        <w:rPr>
          <w:rFonts w:ascii="Times New Roman" w:eastAsia="Times New Roman" w:hAnsi="Times New Roman" w:cs="Times New Roman"/>
          <w:sz w:val="25"/>
          <w:szCs w:val="25"/>
        </w:rPr>
        <w:t>Mukundakam</w:t>
      </w:r>
      <w:proofErr w:type="spellEnd"/>
      <w:r w:rsidRPr="001310CD">
        <w:rPr>
          <w:rFonts w:ascii="Times New Roman" w:eastAsia="Times New Roman" w:hAnsi="Times New Roman" w:cs="Times New Roman"/>
          <w:sz w:val="25"/>
          <w:szCs w:val="25"/>
        </w:rPr>
        <w:t xml:space="preserve"> Sharma</w:t>
      </w:r>
      <w:r w:rsidR="001310CD">
        <w:rPr>
          <w:rFonts w:ascii="Times New Roman" w:eastAsia="Times New Roman" w:hAnsi="Times New Roman" w:cs="Times New Roman"/>
          <w:sz w:val="25"/>
          <w:szCs w:val="25"/>
        </w:rPr>
        <w:t xml:space="preserve"> JJ.</w:t>
      </w:r>
      <w:r w:rsidRPr="001310CD">
        <w:rPr>
          <w:rFonts w:ascii="Times New Roman" w:eastAsia="Times New Roman" w:hAnsi="Times New Roman" w:cs="Times New Roman"/>
          <w:sz w:val="25"/>
          <w:szCs w:val="25"/>
        </w:rPr>
        <w:t>)</w:t>
      </w:r>
      <w:proofErr w:type="gramEnd"/>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20</w:t>
      </w:r>
      <w:r w:rsidR="001310CD">
        <w:rPr>
          <w:rFonts w:ascii="Times New Roman" w:eastAsia="Times New Roman" w:hAnsi="Times New Roman" w:cs="Times New Roman"/>
          <w:sz w:val="25"/>
          <w:szCs w:val="25"/>
        </w:rPr>
        <w:t>.</w:t>
      </w:r>
      <w:r w:rsidRPr="001310CD">
        <w:rPr>
          <w:rFonts w:ascii="Times New Roman" w:eastAsia="Times New Roman" w:hAnsi="Times New Roman" w:cs="Times New Roman"/>
          <w:sz w:val="25"/>
          <w:szCs w:val="25"/>
        </w:rPr>
        <w:t>10</w:t>
      </w:r>
      <w:r w:rsidR="001310CD">
        <w:rPr>
          <w:rFonts w:ascii="Times New Roman" w:eastAsia="Times New Roman" w:hAnsi="Times New Roman" w:cs="Times New Roman"/>
          <w:sz w:val="25"/>
          <w:szCs w:val="25"/>
        </w:rPr>
        <w:t>.</w:t>
      </w:r>
      <w:r w:rsidRPr="001310CD">
        <w:rPr>
          <w:rFonts w:ascii="Times New Roman" w:eastAsia="Times New Roman" w:hAnsi="Times New Roman" w:cs="Times New Roman"/>
          <w:sz w:val="25"/>
          <w:szCs w:val="25"/>
        </w:rPr>
        <w:t>2008</w:t>
      </w:r>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center"/>
        <w:rPr>
          <w:rFonts w:ascii="Times New Roman" w:eastAsia="Times New Roman" w:hAnsi="Times New Roman" w:cs="Times New Roman"/>
          <w:sz w:val="25"/>
          <w:szCs w:val="25"/>
        </w:rPr>
      </w:pPr>
      <w:r w:rsidRPr="001310CD">
        <w:rPr>
          <w:rFonts w:ascii="Times New Roman" w:eastAsia="Times New Roman" w:hAnsi="Times New Roman" w:cs="Times New Roman"/>
          <w:b/>
          <w:bCs/>
          <w:sz w:val="25"/>
          <w:szCs w:val="25"/>
        </w:rPr>
        <w:t>JUDGMENT</w:t>
      </w:r>
    </w:p>
    <w:p w:rsidR="002F0AF8" w:rsidRPr="001310CD" w:rsidRDefault="002F0AF8" w:rsidP="001310CD">
      <w:pPr>
        <w:spacing w:after="0" w:line="240" w:lineRule="auto"/>
        <w:jc w:val="both"/>
        <w:rPr>
          <w:rFonts w:ascii="Times New Roman" w:eastAsia="Times New Roman" w:hAnsi="Times New Roman" w:cs="Times New Roman"/>
          <w:sz w:val="25"/>
          <w:szCs w:val="25"/>
        </w:rPr>
      </w:pPr>
      <w:proofErr w:type="spellStart"/>
      <w:r w:rsidRPr="001310CD">
        <w:rPr>
          <w:rFonts w:ascii="Times New Roman" w:eastAsia="Times New Roman" w:hAnsi="Times New Roman" w:cs="Times New Roman"/>
          <w:b/>
          <w:bCs/>
          <w:sz w:val="25"/>
          <w:szCs w:val="25"/>
        </w:rPr>
        <w:t>Dr.</w:t>
      </w:r>
      <w:r w:rsidR="001310CD" w:rsidRPr="001310CD">
        <w:rPr>
          <w:rFonts w:ascii="Times New Roman" w:eastAsia="Times New Roman" w:hAnsi="Times New Roman" w:cs="Times New Roman"/>
          <w:b/>
          <w:bCs/>
          <w:sz w:val="25"/>
          <w:szCs w:val="25"/>
        </w:rPr>
        <w:t>Arijit</w:t>
      </w:r>
      <w:proofErr w:type="spellEnd"/>
      <w:r w:rsidR="001310CD" w:rsidRPr="001310CD">
        <w:rPr>
          <w:rFonts w:ascii="Times New Roman" w:eastAsia="Times New Roman" w:hAnsi="Times New Roman" w:cs="Times New Roman"/>
          <w:b/>
          <w:bCs/>
          <w:sz w:val="25"/>
          <w:szCs w:val="25"/>
        </w:rPr>
        <w:t xml:space="preserve"> </w:t>
      </w:r>
      <w:proofErr w:type="spellStart"/>
      <w:r w:rsidR="001310CD" w:rsidRPr="001310CD">
        <w:rPr>
          <w:rFonts w:ascii="Times New Roman" w:eastAsia="Times New Roman" w:hAnsi="Times New Roman" w:cs="Times New Roman"/>
          <w:b/>
          <w:bCs/>
          <w:sz w:val="25"/>
          <w:szCs w:val="25"/>
        </w:rPr>
        <w:t>Pasayat</w:t>
      </w:r>
      <w:proofErr w:type="spellEnd"/>
      <w:r w:rsidRPr="001310CD">
        <w:rPr>
          <w:rFonts w:ascii="Times New Roman" w:eastAsia="Times New Roman" w:hAnsi="Times New Roman" w:cs="Times New Roman"/>
          <w:b/>
          <w:bCs/>
          <w:sz w:val="25"/>
          <w:szCs w:val="25"/>
        </w:rPr>
        <w:t>, J.</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1. Leave granted in all these cases.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2. By the impugned judgments the High Court of Andhra Pradesh has quashed the FIR filed by Prohibition and Excise officers alleging   commission of   offences punishable under </w:t>
      </w:r>
      <w:r w:rsidRPr="001310CD">
        <w:rPr>
          <w:rFonts w:ascii="Times New Roman" w:eastAsia="Times New Roman" w:hAnsi="Times New Roman" w:cs="Times New Roman"/>
          <w:i/>
          <w:sz w:val="25"/>
          <w:szCs w:val="25"/>
        </w:rPr>
        <w:t>Andhra Pradesh Excise Act, 1968</w:t>
      </w:r>
      <w:r w:rsidRPr="001310CD">
        <w:rPr>
          <w:rFonts w:ascii="Times New Roman" w:eastAsia="Times New Roman" w:hAnsi="Times New Roman" w:cs="Times New Roman"/>
          <w:sz w:val="25"/>
          <w:szCs w:val="25"/>
        </w:rPr>
        <w:t xml:space="preserve"> (in short the 'Act') and the Andhra Pradesh Prohibition Act, 1995 (in short the 'Prohibition Act'). In all the cases the allegation was that the concerned accused was either transporting or storing black </w:t>
      </w:r>
      <w:proofErr w:type="spellStart"/>
      <w:r w:rsidRPr="001310CD">
        <w:rPr>
          <w:rFonts w:ascii="Times New Roman" w:eastAsia="Times New Roman" w:hAnsi="Times New Roman" w:cs="Times New Roman"/>
          <w:sz w:val="25"/>
          <w:szCs w:val="25"/>
        </w:rPr>
        <w:t>jaggery</w:t>
      </w:r>
      <w:proofErr w:type="spellEnd"/>
      <w:r w:rsidRPr="001310CD">
        <w:rPr>
          <w:rFonts w:ascii="Times New Roman" w:eastAsia="Times New Roman" w:hAnsi="Times New Roman" w:cs="Times New Roman"/>
          <w:sz w:val="25"/>
          <w:szCs w:val="25"/>
        </w:rPr>
        <w:t xml:space="preserve">/molasses for the purpose of manufacturing illicit distilled liquor or was an abettor so far as the offence of manufacturing illicit liquor is concerned. On being moved by application under Section 482 of the </w:t>
      </w:r>
      <w:r w:rsidRPr="001310CD">
        <w:rPr>
          <w:rFonts w:ascii="Times New Roman" w:eastAsia="Times New Roman" w:hAnsi="Times New Roman" w:cs="Times New Roman"/>
          <w:i/>
          <w:sz w:val="25"/>
          <w:szCs w:val="25"/>
        </w:rPr>
        <w:t>Code of Criminal Procedure, 1973</w:t>
      </w:r>
      <w:r w:rsidRPr="001310CD">
        <w:rPr>
          <w:rFonts w:ascii="Times New Roman" w:eastAsia="Times New Roman" w:hAnsi="Times New Roman" w:cs="Times New Roman"/>
          <w:sz w:val="25"/>
          <w:szCs w:val="25"/>
        </w:rPr>
        <w:t xml:space="preserve"> (in short the `Code') by the concerned accused for quashing the FIR, the High Court accepted the plea holding that there was no material to show that the seized articles were intended to be used for manufacturing of illicit distilled liquor. Accordingly, the FIR in each case was quashed.</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3. In support of the appeals, learned counsel appearing for the State of Andhra Pradesh submitted that the High Court's approach is clearly erroneous. These are not cases where there was total absence of material to show the commission of a crime. Whether there was adequate material already in existence or which could have been collected during investigation and their relevance is essentially a matter of trial. The High Court was not, therefore, justified in quashing the FIR. The exercise of power under Section 482 of the Code is clearly indefensible.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4. There is no appearance on behalf of the respondents in spite of service of notice.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5. Exercise of power under Section 482 of the Code in a case of this nature is the exception and not the rule. The Section does not confer any new powers on the High Court. It only saves the inherent power which the Court possessed before the enactment of the Code. It envisages three circumstances under which the inherent jurisdiction may be exercised, </w:t>
      </w:r>
      <w:r w:rsidRPr="001310CD">
        <w:rPr>
          <w:rFonts w:ascii="Times New Roman" w:eastAsia="Times New Roman" w:hAnsi="Times New Roman" w:cs="Times New Roman"/>
          <w:sz w:val="25"/>
          <w:szCs w:val="25"/>
        </w:rPr>
        <w:lastRenderedPageBreak/>
        <w:t xml:space="preserve">namely, (i) to give effect to an order under the Code,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course of administration of justice on the principle </w:t>
      </w:r>
      <w:proofErr w:type="spellStart"/>
      <w:r w:rsidRPr="001310CD">
        <w:rPr>
          <w:rFonts w:ascii="Times New Roman" w:eastAsia="Times New Roman" w:hAnsi="Times New Roman" w:cs="Times New Roman"/>
          <w:sz w:val="25"/>
          <w:szCs w:val="25"/>
        </w:rPr>
        <w:t>quando</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lex</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aliquid</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alique</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concedit</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conceditur</w:t>
      </w:r>
      <w:proofErr w:type="spellEnd"/>
      <w:r w:rsidRPr="001310CD">
        <w:rPr>
          <w:rFonts w:ascii="Times New Roman" w:eastAsia="Times New Roman" w:hAnsi="Times New Roman" w:cs="Times New Roman"/>
          <w:sz w:val="25"/>
          <w:szCs w:val="25"/>
        </w:rPr>
        <w:t xml:space="preserve"> et id sine quo res </w:t>
      </w:r>
      <w:proofErr w:type="spellStart"/>
      <w:r w:rsidRPr="001310CD">
        <w:rPr>
          <w:rFonts w:ascii="Times New Roman" w:eastAsia="Times New Roman" w:hAnsi="Times New Roman" w:cs="Times New Roman"/>
          <w:sz w:val="25"/>
          <w:szCs w:val="25"/>
        </w:rPr>
        <w:t>ipsa</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esse</w:t>
      </w:r>
      <w:proofErr w:type="spellEnd"/>
      <w:r w:rsidRPr="001310CD">
        <w:rPr>
          <w:rFonts w:ascii="Times New Roman" w:eastAsia="Times New Roman" w:hAnsi="Times New Roman" w:cs="Times New Roman"/>
          <w:sz w:val="25"/>
          <w:szCs w:val="25"/>
        </w:rPr>
        <w:t xml:space="preserve"> non </w:t>
      </w:r>
      <w:proofErr w:type="spellStart"/>
      <w:r w:rsidRPr="001310CD">
        <w:rPr>
          <w:rFonts w:ascii="Times New Roman" w:eastAsia="Times New Roman" w:hAnsi="Times New Roman" w:cs="Times New Roman"/>
          <w:sz w:val="25"/>
          <w:szCs w:val="25"/>
        </w:rPr>
        <w:t>potest</w:t>
      </w:r>
      <w:proofErr w:type="spellEnd"/>
      <w:r w:rsidRPr="001310CD">
        <w:rPr>
          <w:rFonts w:ascii="Times New Roman" w:eastAsia="Times New Roman" w:hAnsi="Times New Roman" w:cs="Times New Roman"/>
          <w:sz w:val="25"/>
          <w:szCs w:val="25"/>
        </w:rPr>
        <w:t xml:space="preserve"> (when the law gives a person anything it gives him that without which it cannot exist).While exercising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w:t>
      </w:r>
      <w:proofErr w:type="spellStart"/>
      <w:r w:rsidRPr="001310CD">
        <w:rPr>
          <w:rFonts w:ascii="Times New Roman" w:eastAsia="Times New Roman" w:hAnsi="Times New Roman" w:cs="Times New Roman"/>
          <w:sz w:val="25"/>
          <w:szCs w:val="25"/>
        </w:rPr>
        <w:t>debito</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justitiae</w:t>
      </w:r>
      <w:proofErr w:type="spellEnd"/>
      <w:r w:rsidRPr="001310CD">
        <w:rPr>
          <w:rFonts w:ascii="Times New Roman" w:eastAsia="Times New Roman" w:hAnsi="Times New Roman" w:cs="Times New Roman"/>
          <w:sz w:val="25"/>
          <w:szCs w:val="25"/>
        </w:rPr>
        <w:t xml:space="preserve"> to do     real   and substantial justice for the administration of which alone courts exist. Authority of the court exists for advancement of justice and if any attempt is made to abuse that authority so as to produce injustice, the court has power to prevent such abuse. It would be an abuse of process of the court to allow any action which would result in injustice and prevent promotion of justice. In exercises of the powers court would be justified to quash any proceeding if it finds that initiation or continuance of it amounts to abuse of the process of court or quashing of these proceedings would otherwise serve the ends of justice. When no offence is disclosed by the complaint, the court may examine the question of fact. When a complaint is sought to be quashed, it is permissible to look into the materials to assess what the complainant has alleged and whether any offence is made out even if the allegations are accepted in to.</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6. In </w:t>
      </w:r>
      <w:r w:rsidRPr="001310CD">
        <w:rPr>
          <w:rFonts w:ascii="Times New Roman" w:eastAsia="Times New Roman" w:hAnsi="Times New Roman" w:cs="Times New Roman"/>
          <w:i/>
          <w:sz w:val="25"/>
          <w:szCs w:val="25"/>
        </w:rPr>
        <w:t xml:space="preserve">R.P. </w:t>
      </w:r>
      <w:proofErr w:type="spellStart"/>
      <w:r w:rsidRPr="001310CD">
        <w:rPr>
          <w:rFonts w:ascii="Times New Roman" w:eastAsia="Times New Roman" w:hAnsi="Times New Roman" w:cs="Times New Roman"/>
          <w:i/>
          <w:sz w:val="25"/>
          <w:szCs w:val="25"/>
        </w:rPr>
        <w:t>Kapur</w:t>
      </w:r>
      <w:proofErr w:type="spellEnd"/>
      <w:r w:rsidRPr="001310CD">
        <w:rPr>
          <w:rFonts w:ascii="Times New Roman" w:eastAsia="Times New Roman" w:hAnsi="Times New Roman" w:cs="Times New Roman"/>
          <w:i/>
          <w:sz w:val="25"/>
          <w:szCs w:val="25"/>
        </w:rPr>
        <w:t xml:space="preserve"> v. State of Punjab</w:t>
      </w:r>
      <w:r w:rsidR="001310CD" w:rsidRPr="001310CD">
        <w:rPr>
          <w:rFonts w:ascii="Times New Roman" w:eastAsia="Times New Roman" w:hAnsi="Times New Roman" w:cs="Times New Roman"/>
          <w:i/>
          <w:sz w:val="25"/>
          <w:szCs w:val="25"/>
          <w:vertAlign w:val="superscript"/>
        </w:rPr>
        <w:t>1</w:t>
      </w:r>
      <w:r w:rsidRPr="001310CD">
        <w:rPr>
          <w:rFonts w:ascii="Times New Roman" w:eastAsia="Times New Roman" w:hAnsi="Times New Roman" w:cs="Times New Roman"/>
          <w:sz w:val="25"/>
          <w:szCs w:val="25"/>
        </w:rPr>
        <w:t xml:space="preserve">, this Court summarized some categories of cases where inherent power can and should be exercised to quash the proceedings: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1310CD" w:rsidP="001310C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F0AF8" w:rsidRPr="001310CD">
        <w:rPr>
          <w:rFonts w:ascii="Times New Roman" w:eastAsia="Times New Roman" w:hAnsi="Times New Roman" w:cs="Times New Roman"/>
          <w:sz w:val="25"/>
          <w:szCs w:val="25"/>
        </w:rPr>
        <w:t>(</w:t>
      </w:r>
      <w:proofErr w:type="gramStart"/>
      <w:r w:rsidR="002F0AF8" w:rsidRPr="001310CD">
        <w:rPr>
          <w:rFonts w:ascii="Times New Roman" w:eastAsia="Times New Roman" w:hAnsi="Times New Roman" w:cs="Times New Roman"/>
          <w:sz w:val="25"/>
          <w:szCs w:val="25"/>
        </w:rPr>
        <w:t>i</w:t>
      </w:r>
      <w:proofErr w:type="gramEnd"/>
      <w:r w:rsidR="002F0AF8" w:rsidRPr="001310CD">
        <w:rPr>
          <w:rFonts w:ascii="Times New Roman" w:eastAsia="Times New Roman" w:hAnsi="Times New Roman" w:cs="Times New Roman"/>
          <w:sz w:val="25"/>
          <w:szCs w:val="25"/>
        </w:rPr>
        <w:t>)     where it manifestly appears that there is a legal bar against the institution or continuance e.g. want of sanction;</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(ii)    </w:t>
      </w:r>
      <w:proofErr w:type="gramStart"/>
      <w:r w:rsidRPr="001310CD">
        <w:rPr>
          <w:rFonts w:ascii="Times New Roman" w:eastAsia="Times New Roman" w:hAnsi="Times New Roman" w:cs="Times New Roman"/>
          <w:sz w:val="25"/>
          <w:szCs w:val="25"/>
        </w:rPr>
        <w:t>where</w:t>
      </w:r>
      <w:proofErr w:type="gramEnd"/>
      <w:r w:rsidRPr="001310CD">
        <w:rPr>
          <w:rFonts w:ascii="Times New Roman" w:eastAsia="Times New Roman" w:hAnsi="Times New Roman" w:cs="Times New Roman"/>
          <w:sz w:val="25"/>
          <w:szCs w:val="25"/>
        </w:rPr>
        <w:t xml:space="preserve"> the allegations in the first information report or complaint taken at its face value and accepted in their entirety do not constitute the offence alleged;</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(iii)   </w:t>
      </w:r>
      <w:proofErr w:type="gramStart"/>
      <w:r w:rsidRPr="001310CD">
        <w:rPr>
          <w:rFonts w:ascii="Times New Roman" w:eastAsia="Times New Roman" w:hAnsi="Times New Roman" w:cs="Times New Roman"/>
          <w:sz w:val="25"/>
          <w:szCs w:val="25"/>
        </w:rPr>
        <w:t>where</w:t>
      </w:r>
      <w:proofErr w:type="gramEnd"/>
      <w:r w:rsidRPr="001310CD">
        <w:rPr>
          <w:rFonts w:ascii="Times New Roman" w:eastAsia="Times New Roman" w:hAnsi="Times New Roman" w:cs="Times New Roman"/>
          <w:sz w:val="25"/>
          <w:szCs w:val="25"/>
        </w:rPr>
        <w:t xml:space="preserve"> the allegations constitute an offence, but there is no legal evidence adduced or the evidence adduced clearly or manifestly fails to prove the charge.</w:t>
      </w:r>
      <w:r w:rsidR="001310CD">
        <w:rPr>
          <w:rFonts w:ascii="Times New Roman" w:eastAsia="Times New Roman" w:hAnsi="Times New Roman" w:cs="Times New Roman"/>
          <w:sz w:val="25"/>
          <w:szCs w:val="25"/>
        </w:rPr>
        <w:t>”</w:t>
      </w:r>
    </w:p>
    <w:p w:rsidR="001310CD" w:rsidRDefault="001310CD" w:rsidP="001310CD">
      <w:pPr>
        <w:spacing w:after="0" w:line="240" w:lineRule="auto"/>
        <w:jc w:val="both"/>
        <w:rPr>
          <w:rFonts w:ascii="Times New Roman" w:eastAsia="Times New Roman" w:hAnsi="Times New Roman" w:cs="Times New Roman"/>
          <w:sz w:val="25"/>
          <w:szCs w:val="25"/>
        </w:rPr>
      </w:pP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7. In dealing with the last category, it is important to bear in mind the distinction between a case where there is no legal evidence or where there is evidence which is clearly inconsistent with the accusations made, and a case where there is legal evidence which, on appreciation, may or may not support the accusations. </w:t>
      </w:r>
      <w:proofErr w:type="gramStart"/>
      <w:r w:rsidRPr="001310CD">
        <w:rPr>
          <w:rFonts w:ascii="Times New Roman" w:eastAsia="Times New Roman" w:hAnsi="Times New Roman" w:cs="Times New Roman"/>
          <w:sz w:val="25"/>
          <w:szCs w:val="25"/>
        </w:rPr>
        <w:t xml:space="preserve">When exercising jurisdiction under Section 482 of the Code, the High Court would not ordinarily embark upon an enquiry whether the evidence </w:t>
      </w:r>
      <w:r w:rsidRPr="001310CD">
        <w:rPr>
          <w:rFonts w:ascii="Times New Roman" w:eastAsia="Times New Roman" w:hAnsi="Times New Roman" w:cs="Times New Roman"/>
          <w:sz w:val="25"/>
          <w:szCs w:val="25"/>
        </w:rPr>
        <w:lastRenderedPageBreak/>
        <w:t>in question is reliable or not or whether on a reasonable appreciation of it accusation would not be sustained.</w:t>
      </w:r>
      <w:proofErr w:type="gramEnd"/>
      <w:r w:rsidRPr="001310CD">
        <w:rPr>
          <w:rFonts w:ascii="Times New Roman" w:eastAsia="Times New Roman" w:hAnsi="Times New Roman" w:cs="Times New Roman"/>
          <w:sz w:val="25"/>
          <w:szCs w:val="25"/>
        </w:rPr>
        <w:t xml:space="preserve"> That is the function of the trial Judge. Judicial process no doubt should not be an instrument of oppression, or, needless harassment. Court should be circumspect and judicious in exercising discretion and should take all relevant facts and circumstances into consideration before issuing process, lest it would be an instrument in the hands of a private complainant to unleash vendetta to harass any person needlessly. At the same time the Section is not an instrument handed over to an accused to short-circuit a prosecution and bring about its sudden death. The scope of exercise of power under Section 482 of the Code and the categories of cases where the High Court may exercise its power under it relating to cognizable offences to prevent abuse of process of any court or otherwise to secure the ends of justice were set out in some detail by this Court in </w:t>
      </w:r>
      <w:r w:rsidRPr="001310CD">
        <w:rPr>
          <w:rFonts w:ascii="Times New Roman" w:eastAsia="Times New Roman" w:hAnsi="Times New Roman" w:cs="Times New Roman"/>
          <w:i/>
          <w:sz w:val="25"/>
          <w:szCs w:val="25"/>
        </w:rPr>
        <w:t xml:space="preserve">State of Haryana v. </w:t>
      </w:r>
      <w:proofErr w:type="spellStart"/>
      <w:r w:rsidRPr="001310CD">
        <w:rPr>
          <w:rFonts w:ascii="Times New Roman" w:eastAsia="Times New Roman" w:hAnsi="Times New Roman" w:cs="Times New Roman"/>
          <w:i/>
          <w:sz w:val="25"/>
          <w:szCs w:val="25"/>
        </w:rPr>
        <w:t>Bhajan</w:t>
      </w:r>
      <w:proofErr w:type="spellEnd"/>
      <w:r w:rsidRPr="001310CD">
        <w:rPr>
          <w:rFonts w:ascii="Times New Roman" w:eastAsia="Times New Roman" w:hAnsi="Times New Roman" w:cs="Times New Roman"/>
          <w:i/>
          <w:sz w:val="25"/>
          <w:szCs w:val="25"/>
        </w:rPr>
        <w:t xml:space="preserve"> Lal</w:t>
      </w:r>
      <w:r w:rsidR="001310CD" w:rsidRPr="001310CD">
        <w:rPr>
          <w:rFonts w:ascii="Times New Roman" w:eastAsia="Times New Roman" w:hAnsi="Times New Roman" w:cs="Times New Roman"/>
          <w:i/>
          <w:sz w:val="25"/>
          <w:szCs w:val="25"/>
          <w:vertAlign w:val="superscript"/>
        </w:rPr>
        <w:t>2</w:t>
      </w:r>
      <w:r w:rsidRPr="001310CD">
        <w:rPr>
          <w:rFonts w:ascii="Times New Roman" w:eastAsia="Times New Roman" w:hAnsi="Times New Roman" w:cs="Times New Roman"/>
          <w:sz w:val="25"/>
          <w:szCs w:val="25"/>
        </w:rPr>
        <w:t xml:space="preserve">. A note of caution was, however, added that the power should be exercised sparingly and that too in rarest of rare cases. The illustrative categories indicated by this Court are as follows: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"(1)    Where the allegations made in the first information report or the complaint, even if they are taken at their face value and accepted in their entirety do not prima facie constitute any offence or make out a case against the accused.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(3)    Where the uncontroverted allegations made in the F.I.R. or complaint and the evidence collected in support of the same do not disclose the commission of any offence and make out a case against the accused.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(4)   Where the allegations in the F.I.R. do not constitute a cognizable offence but constitute only a non-cognizable offence, no investigation is permitted by a Police Officer without an order of a Magistrate as contemplated under S. 155(2) of the Code.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(5)    Where the allegations made in the FIR or complaint are so absurd and inherently improbable on the basis of which no prudent person can ever reach a just conclusion that there is sufficient ground for proceeding against the accused.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(6)   Where there is an express legal bar engrafted in any of the provisions   of the Code or the concerned Act (under which a criminal proceeding is   instituted) to the institution and continuance of the proceedings and/or where there is a specific provision in the Code or the concerned Act, providing efficacious redress for the grievance of the aggrieved party.</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ind w:left="720"/>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(7)   Where a criminal proceeding is manifestly attended with mala fide and/or where the proceeding is maliciously instituted with an ulterior motive for wreaking </w:t>
      </w:r>
      <w:r w:rsidRPr="001310CD">
        <w:rPr>
          <w:rFonts w:ascii="Times New Roman" w:eastAsia="Times New Roman" w:hAnsi="Times New Roman" w:cs="Times New Roman"/>
          <w:sz w:val="25"/>
          <w:szCs w:val="25"/>
        </w:rPr>
        <w:lastRenderedPageBreak/>
        <w:t>vengeance on the accused and with a view to spite him due to private and personal grudge."</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8.   As noted above, the powers possessed by the High Court under Section 482 of the Code are very wide and the very plenitude of the power requires great caution in its exercise. Court must be careful to see that its decision in exercise of this power is based on sound principles. The inherent power should not be exercised to stifle a legitimate prosecution.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legal, are of magnitude and cannot be seen in their true perspective without sufficient material. Of course, no hard and fast rule can be laid down in regard to cases in which the High Court will exercise its extraordinary jurisdiction of quashing the proceeding at any stage. (See: </w:t>
      </w:r>
      <w:r w:rsidRPr="001310CD">
        <w:rPr>
          <w:rFonts w:ascii="Times New Roman" w:eastAsia="Times New Roman" w:hAnsi="Times New Roman" w:cs="Times New Roman"/>
          <w:i/>
          <w:sz w:val="25"/>
          <w:szCs w:val="25"/>
        </w:rPr>
        <w:t xml:space="preserve">The </w:t>
      </w:r>
      <w:proofErr w:type="spellStart"/>
      <w:r w:rsidRPr="001310CD">
        <w:rPr>
          <w:rFonts w:ascii="Times New Roman" w:eastAsia="Times New Roman" w:hAnsi="Times New Roman" w:cs="Times New Roman"/>
          <w:i/>
          <w:sz w:val="25"/>
          <w:szCs w:val="25"/>
        </w:rPr>
        <w:t>Janata</w:t>
      </w:r>
      <w:proofErr w:type="spellEnd"/>
      <w:r w:rsidRPr="001310CD">
        <w:rPr>
          <w:rFonts w:ascii="Times New Roman" w:eastAsia="Times New Roman" w:hAnsi="Times New Roman" w:cs="Times New Roman"/>
          <w:i/>
          <w:sz w:val="25"/>
          <w:szCs w:val="25"/>
        </w:rPr>
        <w:t xml:space="preserve"> Dal etc. v. H.S. </w:t>
      </w:r>
      <w:proofErr w:type="spellStart"/>
      <w:r w:rsidRPr="001310CD">
        <w:rPr>
          <w:rFonts w:ascii="Times New Roman" w:eastAsia="Times New Roman" w:hAnsi="Times New Roman" w:cs="Times New Roman"/>
          <w:i/>
          <w:sz w:val="25"/>
          <w:szCs w:val="25"/>
        </w:rPr>
        <w:t>Chowdhary</w:t>
      </w:r>
      <w:proofErr w:type="spellEnd"/>
      <w:r w:rsidRPr="001310CD">
        <w:rPr>
          <w:rFonts w:ascii="Times New Roman" w:eastAsia="Times New Roman" w:hAnsi="Times New Roman" w:cs="Times New Roman"/>
          <w:i/>
          <w:sz w:val="25"/>
          <w:szCs w:val="25"/>
        </w:rPr>
        <w:t xml:space="preserve"> and others, etc.</w:t>
      </w:r>
      <w:r w:rsidR="001310CD" w:rsidRPr="001310CD">
        <w:rPr>
          <w:rFonts w:ascii="Times New Roman" w:eastAsia="Times New Roman" w:hAnsi="Times New Roman" w:cs="Times New Roman"/>
          <w:i/>
          <w:sz w:val="25"/>
          <w:szCs w:val="25"/>
          <w:vertAlign w:val="superscript"/>
        </w:rPr>
        <w:t>3</w:t>
      </w:r>
      <w:r w:rsidRPr="001310CD">
        <w:rPr>
          <w:rFonts w:ascii="Times New Roman" w:eastAsia="Times New Roman" w:hAnsi="Times New Roman" w:cs="Times New Roman"/>
          <w:sz w:val="25"/>
          <w:szCs w:val="25"/>
        </w:rPr>
        <w:t xml:space="preserve">, </w:t>
      </w:r>
      <w:r w:rsidRPr="001310CD">
        <w:rPr>
          <w:rFonts w:ascii="Times New Roman" w:eastAsia="Times New Roman" w:hAnsi="Times New Roman" w:cs="Times New Roman"/>
          <w:i/>
          <w:sz w:val="25"/>
          <w:szCs w:val="25"/>
        </w:rPr>
        <w:t xml:space="preserve">Dr. </w:t>
      </w:r>
      <w:proofErr w:type="spellStart"/>
      <w:r w:rsidRPr="001310CD">
        <w:rPr>
          <w:rFonts w:ascii="Times New Roman" w:eastAsia="Times New Roman" w:hAnsi="Times New Roman" w:cs="Times New Roman"/>
          <w:i/>
          <w:sz w:val="25"/>
          <w:szCs w:val="25"/>
        </w:rPr>
        <w:t>Raghubir</w:t>
      </w:r>
      <w:proofErr w:type="spellEnd"/>
      <w:r w:rsidRPr="001310CD">
        <w:rPr>
          <w:rFonts w:ascii="Times New Roman" w:eastAsia="Times New Roman" w:hAnsi="Times New Roman" w:cs="Times New Roman"/>
          <w:i/>
          <w:sz w:val="25"/>
          <w:szCs w:val="25"/>
        </w:rPr>
        <w:t xml:space="preserve"> Saran v. State of Bihar and another</w:t>
      </w:r>
      <w:r w:rsidR="001310CD" w:rsidRPr="001310CD">
        <w:rPr>
          <w:rFonts w:ascii="Times New Roman" w:eastAsia="Times New Roman" w:hAnsi="Times New Roman" w:cs="Times New Roman"/>
          <w:i/>
          <w:sz w:val="25"/>
          <w:szCs w:val="25"/>
          <w:vertAlign w:val="superscript"/>
        </w:rPr>
        <w:t>4</w:t>
      </w:r>
      <w:r w:rsidRPr="001310CD">
        <w:rPr>
          <w:rFonts w:ascii="Times New Roman" w:eastAsia="Times New Roman" w:hAnsi="Times New Roman" w:cs="Times New Roman"/>
          <w:sz w:val="25"/>
          <w:szCs w:val="25"/>
        </w:rPr>
        <w:t xml:space="preserve">). It would not be proper for the High Court to </w:t>
      </w:r>
      <w:proofErr w:type="spellStart"/>
      <w:r w:rsidRPr="001310CD">
        <w:rPr>
          <w:rFonts w:ascii="Times New Roman" w:eastAsia="Times New Roman" w:hAnsi="Times New Roman" w:cs="Times New Roman"/>
          <w:sz w:val="25"/>
          <w:szCs w:val="25"/>
        </w:rPr>
        <w:t>analyse</w:t>
      </w:r>
      <w:proofErr w:type="spellEnd"/>
      <w:r w:rsidRPr="001310CD">
        <w:rPr>
          <w:rFonts w:ascii="Times New Roman" w:eastAsia="Times New Roman" w:hAnsi="Times New Roman" w:cs="Times New Roman"/>
          <w:sz w:val="25"/>
          <w:szCs w:val="25"/>
        </w:rPr>
        <w:t xml:space="preserve"> the case of the complainant in the light of all probabilities in order to determine whether a conviction would be sustainable and on such premises, arrive at a conclusion that the proceedings are to be quashed. It would be erroneous to assess the material before it and conclude that the complaint cannot be proceeded with. In proceeding instituted on complaint, exercise of the inherent powers to quash the proceedings is called for only in a case where the complaint does not disclose any offence or is frivolous, vexatious or oppressive. If the allegations set out in the complaint do not constitute the offence of which cognizance has been taken by the Magistrate, it is open to the High Court to quash the same in exercise of the inherent powers under Section 482 of the Code. It is not, however, necessary that there should be meticulous analysis of the case before the trial to find out whether the case would end in conviction or acquittal. The complaint/F.I.R. has to be read as a whole. If it appears that on consideration of the allegations in the light of the statement made on oath of the complainant or disclosed in the F.I.R. that the ingredients of the offence or offences are disclosed and there is no material to show that the complaint/F.I.R. is mala fide, frivolous or vexatious, in that event there would be no justification for interference by the High Court. When </w:t>
      </w:r>
      <w:proofErr w:type="gramStart"/>
      <w:r w:rsidRPr="001310CD">
        <w:rPr>
          <w:rFonts w:ascii="Times New Roman" w:eastAsia="Times New Roman" w:hAnsi="Times New Roman" w:cs="Times New Roman"/>
          <w:sz w:val="25"/>
          <w:szCs w:val="25"/>
        </w:rPr>
        <w:t>an information</w:t>
      </w:r>
      <w:proofErr w:type="gramEnd"/>
      <w:r w:rsidRPr="001310CD">
        <w:rPr>
          <w:rFonts w:ascii="Times New Roman" w:eastAsia="Times New Roman" w:hAnsi="Times New Roman" w:cs="Times New Roman"/>
          <w:sz w:val="25"/>
          <w:szCs w:val="25"/>
        </w:rPr>
        <w:t xml:space="preserve"> is lodged at the police station and an offence is registered, then the mala fides of the informant would be of secondary importance. It is the material collected during the investigation and evidence led in Court which decides the fate of the accused person. The allegations of mala fides against the informant are of no consequence and cannot by </w:t>
      </w:r>
      <w:proofErr w:type="gramStart"/>
      <w:r w:rsidRPr="001310CD">
        <w:rPr>
          <w:rFonts w:ascii="Times New Roman" w:eastAsia="Times New Roman" w:hAnsi="Times New Roman" w:cs="Times New Roman"/>
          <w:sz w:val="25"/>
          <w:szCs w:val="25"/>
        </w:rPr>
        <w:t>itself</w:t>
      </w:r>
      <w:proofErr w:type="gramEnd"/>
      <w:r w:rsidRPr="001310CD">
        <w:rPr>
          <w:rFonts w:ascii="Times New Roman" w:eastAsia="Times New Roman" w:hAnsi="Times New Roman" w:cs="Times New Roman"/>
          <w:sz w:val="25"/>
          <w:szCs w:val="25"/>
        </w:rPr>
        <w:t xml:space="preserve"> be the basis for quashing the proceeding. (See : </w:t>
      </w:r>
      <w:r w:rsidRPr="001310CD">
        <w:rPr>
          <w:rFonts w:ascii="Times New Roman" w:eastAsia="Times New Roman" w:hAnsi="Times New Roman" w:cs="Times New Roman"/>
          <w:i/>
          <w:sz w:val="25"/>
          <w:szCs w:val="25"/>
        </w:rPr>
        <w:t xml:space="preserve">Mrs. </w:t>
      </w:r>
      <w:proofErr w:type="spellStart"/>
      <w:r w:rsidRPr="001310CD">
        <w:rPr>
          <w:rFonts w:ascii="Times New Roman" w:eastAsia="Times New Roman" w:hAnsi="Times New Roman" w:cs="Times New Roman"/>
          <w:i/>
          <w:sz w:val="25"/>
          <w:szCs w:val="25"/>
        </w:rPr>
        <w:t>Dhanalakshmi</w:t>
      </w:r>
      <w:proofErr w:type="spellEnd"/>
      <w:r w:rsidRPr="001310CD">
        <w:rPr>
          <w:rFonts w:ascii="Times New Roman" w:eastAsia="Times New Roman" w:hAnsi="Times New Roman" w:cs="Times New Roman"/>
          <w:i/>
          <w:sz w:val="25"/>
          <w:szCs w:val="25"/>
        </w:rPr>
        <w:t xml:space="preserve"> v. R. </w:t>
      </w:r>
      <w:proofErr w:type="spellStart"/>
      <w:r w:rsidRPr="001310CD">
        <w:rPr>
          <w:rFonts w:ascii="Times New Roman" w:eastAsia="Times New Roman" w:hAnsi="Times New Roman" w:cs="Times New Roman"/>
          <w:i/>
          <w:sz w:val="25"/>
          <w:szCs w:val="25"/>
        </w:rPr>
        <w:t>Prasanna</w:t>
      </w:r>
      <w:proofErr w:type="spellEnd"/>
      <w:r w:rsidRPr="001310CD">
        <w:rPr>
          <w:rFonts w:ascii="Times New Roman" w:eastAsia="Times New Roman" w:hAnsi="Times New Roman" w:cs="Times New Roman"/>
          <w:i/>
          <w:sz w:val="25"/>
          <w:szCs w:val="25"/>
        </w:rPr>
        <w:t xml:space="preserve"> Kumar and others</w:t>
      </w:r>
      <w:r w:rsidR="001310CD" w:rsidRPr="001310CD">
        <w:rPr>
          <w:rFonts w:ascii="Times New Roman" w:eastAsia="Times New Roman" w:hAnsi="Times New Roman" w:cs="Times New Roman"/>
          <w:i/>
          <w:sz w:val="25"/>
          <w:szCs w:val="25"/>
          <w:vertAlign w:val="superscript"/>
        </w:rPr>
        <w:t>5</w:t>
      </w:r>
      <w:r w:rsidRPr="001310CD">
        <w:rPr>
          <w:rFonts w:ascii="Times New Roman" w:eastAsia="Times New Roman" w:hAnsi="Times New Roman" w:cs="Times New Roman"/>
          <w:i/>
          <w:sz w:val="25"/>
          <w:szCs w:val="25"/>
        </w:rPr>
        <w:t>, State of Bihar and another v. P. P. Sharma, I.A.S. and another</w:t>
      </w:r>
      <w:r w:rsidR="001310CD" w:rsidRPr="001310CD">
        <w:rPr>
          <w:rFonts w:ascii="Times New Roman" w:eastAsia="Times New Roman" w:hAnsi="Times New Roman" w:cs="Times New Roman"/>
          <w:i/>
          <w:sz w:val="25"/>
          <w:szCs w:val="25"/>
          <w:vertAlign w:val="superscript"/>
        </w:rPr>
        <w:t>6</w:t>
      </w:r>
      <w:r w:rsidRPr="001310CD">
        <w:rPr>
          <w:rFonts w:ascii="Times New Roman" w:eastAsia="Times New Roman" w:hAnsi="Times New Roman" w:cs="Times New Roman"/>
          <w:i/>
          <w:sz w:val="25"/>
          <w:szCs w:val="25"/>
        </w:rPr>
        <w:t xml:space="preserve">, </w:t>
      </w:r>
      <w:proofErr w:type="spellStart"/>
      <w:r w:rsidRPr="001310CD">
        <w:rPr>
          <w:rFonts w:ascii="Times New Roman" w:eastAsia="Times New Roman" w:hAnsi="Times New Roman" w:cs="Times New Roman"/>
          <w:i/>
          <w:sz w:val="25"/>
          <w:szCs w:val="25"/>
        </w:rPr>
        <w:t>Rupan</w:t>
      </w:r>
      <w:proofErr w:type="spellEnd"/>
      <w:r w:rsidRPr="001310CD">
        <w:rPr>
          <w:rFonts w:ascii="Times New Roman" w:eastAsia="Times New Roman" w:hAnsi="Times New Roman" w:cs="Times New Roman"/>
          <w:i/>
          <w:sz w:val="25"/>
          <w:szCs w:val="25"/>
        </w:rPr>
        <w:t xml:space="preserve"> </w:t>
      </w:r>
      <w:proofErr w:type="spellStart"/>
      <w:r w:rsidRPr="001310CD">
        <w:rPr>
          <w:rFonts w:ascii="Times New Roman" w:eastAsia="Times New Roman" w:hAnsi="Times New Roman" w:cs="Times New Roman"/>
          <w:i/>
          <w:sz w:val="25"/>
          <w:szCs w:val="25"/>
        </w:rPr>
        <w:t>Deol</w:t>
      </w:r>
      <w:proofErr w:type="spellEnd"/>
      <w:r w:rsidRPr="001310CD">
        <w:rPr>
          <w:rFonts w:ascii="Times New Roman" w:eastAsia="Times New Roman" w:hAnsi="Times New Roman" w:cs="Times New Roman"/>
          <w:i/>
          <w:sz w:val="25"/>
          <w:szCs w:val="25"/>
        </w:rPr>
        <w:t xml:space="preserve"> Bajaj (Mrs.) and another v. </w:t>
      </w:r>
      <w:proofErr w:type="spellStart"/>
      <w:r w:rsidRPr="001310CD">
        <w:rPr>
          <w:rFonts w:ascii="Times New Roman" w:eastAsia="Times New Roman" w:hAnsi="Times New Roman" w:cs="Times New Roman"/>
          <w:i/>
          <w:sz w:val="25"/>
          <w:szCs w:val="25"/>
        </w:rPr>
        <w:t>Kanwar</w:t>
      </w:r>
      <w:proofErr w:type="spellEnd"/>
      <w:r w:rsidRPr="001310CD">
        <w:rPr>
          <w:rFonts w:ascii="Times New Roman" w:eastAsia="Times New Roman" w:hAnsi="Times New Roman" w:cs="Times New Roman"/>
          <w:i/>
          <w:sz w:val="25"/>
          <w:szCs w:val="25"/>
        </w:rPr>
        <w:t xml:space="preserve"> Pal Singh Gill and another</w:t>
      </w:r>
      <w:r w:rsidR="001310CD" w:rsidRPr="001310CD">
        <w:rPr>
          <w:rFonts w:ascii="Times New Roman" w:eastAsia="Times New Roman" w:hAnsi="Times New Roman" w:cs="Times New Roman"/>
          <w:i/>
          <w:sz w:val="25"/>
          <w:szCs w:val="25"/>
          <w:vertAlign w:val="superscript"/>
        </w:rPr>
        <w:t>7</w:t>
      </w:r>
      <w:r w:rsidRPr="001310CD">
        <w:rPr>
          <w:rFonts w:ascii="Times New Roman" w:eastAsia="Times New Roman" w:hAnsi="Times New Roman" w:cs="Times New Roman"/>
          <w:i/>
          <w:sz w:val="25"/>
          <w:szCs w:val="25"/>
        </w:rPr>
        <w:t xml:space="preserve">, State of Kerala and others v. O.C. </w:t>
      </w:r>
      <w:proofErr w:type="spellStart"/>
      <w:r w:rsidRPr="001310CD">
        <w:rPr>
          <w:rFonts w:ascii="Times New Roman" w:eastAsia="Times New Roman" w:hAnsi="Times New Roman" w:cs="Times New Roman"/>
          <w:i/>
          <w:sz w:val="25"/>
          <w:szCs w:val="25"/>
        </w:rPr>
        <w:t>Kuttan</w:t>
      </w:r>
      <w:proofErr w:type="spellEnd"/>
      <w:r w:rsidRPr="001310CD">
        <w:rPr>
          <w:rFonts w:ascii="Times New Roman" w:eastAsia="Times New Roman" w:hAnsi="Times New Roman" w:cs="Times New Roman"/>
          <w:i/>
          <w:sz w:val="25"/>
          <w:szCs w:val="25"/>
        </w:rPr>
        <w:t xml:space="preserve"> and others</w:t>
      </w:r>
      <w:r w:rsidR="001310CD" w:rsidRPr="001310CD">
        <w:rPr>
          <w:rFonts w:ascii="Times New Roman" w:eastAsia="Times New Roman" w:hAnsi="Times New Roman" w:cs="Times New Roman"/>
          <w:i/>
          <w:sz w:val="25"/>
          <w:szCs w:val="25"/>
          <w:vertAlign w:val="superscript"/>
        </w:rPr>
        <w:t>8</w:t>
      </w:r>
      <w:r w:rsidRPr="001310CD">
        <w:rPr>
          <w:rFonts w:ascii="Times New Roman" w:eastAsia="Times New Roman" w:hAnsi="Times New Roman" w:cs="Times New Roman"/>
          <w:i/>
          <w:sz w:val="25"/>
          <w:szCs w:val="25"/>
        </w:rPr>
        <w:t>, State of U.P. v. O. P. Sharma</w:t>
      </w:r>
      <w:r w:rsidR="001310CD" w:rsidRPr="001310CD">
        <w:rPr>
          <w:rFonts w:ascii="Times New Roman" w:eastAsia="Times New Roman" w:hAnsi="Times New Roman" w:cs="Times New Roman"/>
          <w:i/>
          <w:sz w:val="25"/>
          <w:szCs w:val="25"/>
          <w:vertAlign w:val="superscript"/>
        </w:rPr>
        <w:t>9</w:t>
      </w:r>
      <w:r w:rsidRPr="001310CD">
        <w:rPr>
          <w:rFonts w:ascii="Times New Roman" w:eastAsia="Times New Roman" w:hAnsi="Times New Roman" w:cs="Times New Roman"/>
          <w:i/>
          <w:sz w:val="25"/>
          <w:szCs w:val="25"/>
        </w:rPr>
        <w:t xml:space="preserve">, </w:t>
      </w:r>
      <w:proofErr w:type="spellStart"/>
      <w:r w:rsidRPr="001310CD">
        <w:rPr>
          <w:rFonts w:ascii="Times New Roman" w:eastAsia="Times New Roman" w:hAnsi="Times New Roman" w:cs="Times New Roman"/>
          <w:i/>
          <w:sz w:val="25"/>
          <w:szCs w:val="25"/>
        </w:rPr>
        <w:t>Rashmi</w:t>
      </w:r>
      <w:proofErr w:type="spellEnd"/>
      <w:r w:rsidRPr="001310CD">
        <w:rPr>
          <w:rFonts w:ascii="Times New Roman" w:eastAsia="Times New Roman" w:hAnsi="Times New Roman" w:cs="Times New Roman"/>
          <w:i/>
          <w:sz w:val="25"/>
          <w:szCs w:val="25"/>
        </w:rPr>
        <w:t xml:space="preserve"> Kumar (Smt.) v. Mahesh Kumar Bhada</w:t>
      </w:r>
      <w:r w:rsidR="001310CD" w:rsidRPr="001310CD">
        <w:rPr>
          <w:rFonts w:ascii="Times New Roman" w:eastAsia="Times New Roman" w:hAnsi="Times New Roman" w:cs="Times New Roman"/>
          <w:i/>
          <w:sz w:val="25"/>
          <w:szCs w:val="25"/>
          <w:vertAlign w:val="superscript"/>
        </w:rPr>
        <w:t>10</w:t>
      </w:r>
      <w:r w:rsidRPr="001310CD">
        <w:rPr>
          <w:rFonts w:ascii="Times New Roman" w:eastAsia="Times New Roman" w:hAnsi="Times New Roman" w:cs="Times New Roman"/>
          <w:i/>
          <w:sz w:val="25"/>
          <w:szCs w:val="25"/>
        </w:rPr>
        <w:t xml:space="preserve">, </w:t>
      </w:r>
      <w:proofErr w:type="spellStart"/>
      <w:r w:rsidRPr="001310CD">
        <w:rPr>
          <w:rFonts w:ascii="Times New Roman" w:eastAsia="Times New Roman" w:hAnsi="Times New Roman" w:cs="Times New Roman"/>
          <w:i/>
          <w:sz w:val="25"/>
          <w:szCs w:val="25"/>
        </w:rPr>
        <w:t>Satvinder</w:t>
      </w:r>
      <w:proofErr w:type="spellEnd"/>
      <w:r w:rsidRPr="001310CD">
        <w:rPr>
          <w:rFonts w:ascii="Times New Roman" w:eastAsia="Times New Roman" w:hAnsi="Times New Roman" w:cs="Times New Roman"/>
          <w:i/>
          <w:sz w:val="25"/>
          <w:szCs w:val="25"/>
        </w:rPr>
        <w:t xml:space="preserve"> </w:t>
      </w:r>
      <w:proofErr w:type="spellStart"/>
      <w:r w:rsidRPr="001310CD">
        <w:rPr>
          <w:rFonts w:ascii="Times New Roman" w:eastAsia="Times New Roman" w:hAnsi="Times New Roman" w:cs="Times New Roman"/>
          <w:i/>
          <w:sz w:val="25"/>
          <w:szCs w:val="25"/>
        </w:rPr>
        <w:t>Kaur</w:t>
      </w:r>
      <w:proofErr w:type="spellEnd"/>
      <w:r w:rsidRPr="001310CD">
        <w:rPr>
          <w:rFonts w:ascii="Times New Roman" w:eastAsia="Times New Roman" w:hAnsi="Times New Roman" w:cs="Times New Roman"/>
          <w:i/>
          <w:sz w:val="25"/>
          <w:szCs w:val="25"/>
        </w:rPr>
        <w:t xml:space="preserve"> v. State (Govt. of NCT of Delhi) and another</w:t>
      </w:r>
      <w:r w:rsidR="001310CD" w:rsidRPr="001310CD">
        <w:rPr>
          <w:rFonts w:ascii="Times New Roman" w:eastAsia="Times New Roman" w:hAnsi="Times New Roman" w:cs="Times New Roman"/>
          <w:i/>
          <w:sz w:val="25"/>
          <w:szCs w:val="25"/>
          <w:vertAlign w:val="superscript"/>
        </w:rPr>
        <w:t>11</w:t>
      </w:r>
      <w:r w:rsidRPr="001310CD">
        <w:rPr>
          <w:rFonts w:ascii="Times New Roman" w:eastAsia="Times New Roman" w:hAnsi="Times New Roman" w:cs="Times New Roman"/>
          <w:i/>
          <w:sz w:val="25"/>
          <w:szCs w:val="25"/>
        </w:rPr>
        <w:t>, Rajesh Bajaj v. State NCT of Delhi and others</w:t>
      </w:r>
      <w:r w:rsidR="001310CD" w:rsidRPr="001310CD">
        <w:rPr>
          <w:rFonts w:ascii="Times New Roman" w:eastAsia="Times New Roman" w:hAnsi="Times New Roman" w:cs="Times New Roman"/>
          <w:i/>
          <w:sz w:val="25"/>
          <w:szCs w:val="25"/>
          <w:vertAlign w:val="superscript"/>
        </w:rPr>
        <w:t>12</w:t>
      </w:r>
      <w:r w:rsidRPr="001310CD">
        <w:rPr>
          <w:rFonts w:ascii="Times New Roman" w:eastAsia="Times New Roman" w:hAnsi="Times New Roman" w:cs="Times New Roman"/>
          <w:i/>
          <w:sz w:val="25"/>
          <w:szCs w:val="25"/>
        </w:rPr>
        <w:t xml:space="preserve">, State of Karnataka v. M. </w:t>
      </w:r>
      <w:proofErr w:type="spellStart"/>
      <w:r w:rsidRPr="001310CD">
        <w:rPr>
          <w:rFonts w:ascii="Times New Roman" w:eastAsia="Times New Roman" w:hAnsi="Times New Roman" w:cs="Times New Roman"/>
          <w:i/>
          <w:sz w:val="25"/>
          <w:szCs w:val="25"/>
        </w:rPr>
        <w:t>Devendrappa</w:t>
      </w:r>
      <w:proofErr w:type="spellEnd"/>
      <w:r w:rsidRPr="001310CD">
        <w:rPr>
          <w:rFonts w:ascii="Times New Roman" w:eastAsia="Times New Roman" w:hAnsi="Times New Roman" w:cs="Times New Roman"/>
          <w:i/>
          <w:sz w:val="25"/>
          <w:szCs w:val="25"/>
        </w:rPr>
        <w:t xml:space="preserve"> and another</w:t>
      </w:r>
      <w:r w:rsidR="001310CD" w:rsidRPr="001310CD">
        <w:rPr>
          <w:rFonts w:ascii="Times New Roman" w:eastAsia="Times New Roman" w:hAnsi="Times New Roman" w:cs="Times New Roman"/>
          <w:i/>
          <w:sz w:val="25"/>
          <w:szCs w:val="25"/>
          <w:vertAlign w:val="superscript"/>
        </w:rPr>
        <w:t>13</w:t>
      </w:r>
      <w:r w:rsidR="001310CD" w:rsidRPr="001310CD">
        <w:rPr>
          <w:rFonts w:ascii="Times New Roman" w:eastAsia="Times New Roman" w:hAnsi="Times New Roman" w:cs="Times New Roman"/>
          <w:sz w:val="25"/>
          <w:szCs w:val="25"/>
        </w:rPr>
        <w:t>)</w:t>
      </w:r>
      <w:r w:rsidRPr="001310CD">
        <w:rPr>
          <w:rFonts w:ascii="Times New Roman" w:eastAsia="Times New Roman" w:hAnsi="Times New Roman" w:cs="Times New Roman"/>
          <w:sz w:val="25"/>
          <w:szCs w:val="25"/>
        </w:rPr>
        <w:t xml:space="preserve">.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9. In all these cases there </w:t>
      </w:r>
      <w:proofErr w:type="gramStart"/>
      <w:r w:rsidRPr="001310CD">
        <w:rPr>
          <w:rFonts w:ascii="Times New Roman" w:eastAsia="Times New Roman" w:hAnsi="Times New Roman" w:cs="Times New Roman"/>
          <w:sz w:val="25"/>
          <w:szCs w:val="25"/>
        </w:rPr>
        <w:t>was</w:t>
      </w:r>
      <w:proofErr w:type="gramEnd"/>
      <w:r w:rsidRPr="001310CD">
        <w:rPr>
          <w:rFonts w:ascii="Times New Roman" w:eastAsia="Times New Roman" w:hAnsi="Times New Roman" w:cs="Times New Roman"/>
          <w:sz w:val="25"/>
          <w:szCs w:val="25"/>
        </w:rPr>
        <w:t xml:space="preserve"> either statements of witnesses or seizure of black </w:t>
      </w:r>
      <w:proofErr w:type="spellStart"/>
      <w:r w:rsidRPr="001310CD">
        <w:rPr>
          <w:rFonts w:ascii="Times New Roman" w:eastAsia="Times New Roman" w:hAnsi="Times New Roman" w:cs="Times New Roman"/>
          <w:sz w:val="25"/>
          <w:szCs w:val="25"/>
        </w:rPr>
        <w:t>jaggery</w:t>
      </w:r>
      <w:proofErr w:type="spellEnd"/>
      <w:r w:rsidRPr="001310CD">
        <w:rPr>
          <w:rFonts w:ascii="Times New Roman" w:eastAsia="Times New Roman" w:hAnsi="Times New Roman" w:cs="Times New Roman"/>
          <w:sz w:val="25"/>
          <w:szCs w:val="25"/>
        </w:rPr>
        <w:t xml:space="preserve"> and </w:t>
      </w:r>
      <w:proofErr w:type="spellStart"/>
      <w:r w:rsidRPr="001310CD">
        <w:rPr>
          <w:rFonts w:ascii="Times New Roman" w:eastAsia="Times New Roman" w:hAnsi="Times New Roman" w:cs="Times New Roman"/>
          <w:sz w:val="25"/>
          <w:szCs w:val="25"/>
        </w:rPr>
        <w:t>olum</w:t>
      </w:r>
      <w:proofErr w:type="spellEnd"/>
      <w:r w:rsidRPr="001310CD">
        <w:rPr>
          <w:rFonts w:ascii="Times New Roman" w:eastAsia="Times New Roman" w:hAnsi="Times New Roman" w:cs="Times New Roman"/>
          <w:sz w:val="25"/>
          <w:szCs w:val="25"/>
        </w:rPr>
        <w:t xml:space="preserve"> materials being used for manufacturing illicit distilled liquor   which factors cannot be said to be without relevance. Whether the material already in existence or to be collected during investigation would be sufficient for holding the concerned accused persons guilty has </w:t>
      </w:r>
      <w:r w:rsidRPr="001310CD">
        <w:rPr>
          <w:rFonts w:ascii="Times New Roman" w:eastAsia="Times New Roman" w:hAnsi="Times New Roman" w:cs="Times New Roman"/>
          <w:sz w:val="25"/>
          <w:szCs w:val="25"/>
        </w:rPr>
        <w:lastRenderedPageBreak/>
        <w:t xml:space="preserve">to be considered at the time of trial. At the time of framing the charge it can be decided whether prima facie case has been made out showing commission of an offence and involvement of the charged persons. At that stage also evidence cannot be gone into meticulously. It is immaterial whether the case is based on direct or circumstantial evidence. Charge can be framed, if there are materials showing possibility about the commission of the crime as against certainty. That being so, the interference at the threshold with the F.I.R. is to be in very exceptional circumstances as held in R.P. </w:t>
      </w:r>
      <w:proofErr w:type="spellStart"/>
      <w:r w:rsidRPr="001310CD">
        <w:rPr>
          <w:rFonts w:ascii="Times New Roman" w:eastAsia="Times New Roman" w:hAnsi="Times New Roman" w:cs="Times New Roman"/>
          <w:sz w:val="25"/>
          <w:szCs w:val="25"/>
        </w:rPr>
        <w:t>Kapoor</w:t>
      </w:r>
      <w:proofErr w:type="spellEnd"/>
      <w:r w:rsidRPr="001310CD">
        <w:rPr>
          <w:rFonts w:ascii="Times New Roman" w:eastAsia="Times New Roman" w:hAnsi="Times New Roman" w:cs="Times New Roman"/>
          <w:sz w:val="25"/>
          <w:szCs w:val="25"/>
        </w:rPr>
        <w:t xml:space="preserve"> and </w:t>
      </w:r>
      <w:proofErr w:type="spellStart"/>
      <w:r w:rsidRPr="001310CD">
        <w:rPr>
          <w:rFonts w:ascii="Times New Roman" w:eastAsia="Times New Roman" w:hAnsi="Times New Roman" w:cs="Times New Roman"/>
          <w:sz w:val="25"/>
          <w:szCs w:val="25"/>
        </w:rPr>
        <w:t>Bhajan</w:t>
      </w:r>
      <w:proofErr w:type="spellEnd"/>
      <w:r w:rsidRPr="001310CD">
        <w:rPr>
          <w:rFonts w:ascii="Times New Roman" w:eastAsia="Times New Roman" w:hAnsi="Times New Roman" w:cs="Times New Roman"/>
          <w:sz w:val="25"/>
          <w:szCs w:val="25"/>
        </w:rPr>
        <w:t xml:space="preserve"> </w:t>
      </w:r>
      <w:proofErr w:type="spellStart"/>
      <w:r w:rsidRPr="001310CD">
        <w:rPr>
          <w:rFonts w:ascii="Times New Roman" w:eastAsia="Times New Roman" w:hAnsi="Times New Roman" w:cs="Times New Roman"/>
          <w:sz w:val="25"/>
          <w:szCs w:val="25"/>
        </w:rPr>
        <w:t>Lal</w:t>
      </w:r>
      <w:proofErr w:type="spellEnd"/>
      <w:r w:rsidRPr="001310CD">
        <w:rPr>
          <w:rFonts w:ascii="Times New Roman" w:eastAsia="Times New Roman" w:hAnsi="Times New Roman" w:cs="Times New Roman"/>
          <w:sz w:val="25"/>
          <w:szCs w:val="25"/>
        </w:rPr>
        <w:t xml:space="preserve"> cases (supra).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10. Ultimately, the acceptability of the materials to fasten culpability on the accused persons is a matter of trial. These are not the cases where it can be said that the FIR did not disclose commission of an offence. Therefore, the High Court was not justified in quashing the FIR in the concerned cases.</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xml:space="preserve">11. Keeping in view the principles of law as enunciated above, the action of the High Court in quashing the FIR in each case cannot be maintained and are set aside.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12.</w:t>
      </w:r>
      <w:r w:rsidR="001310CD">
        <w:rPr>
          <w:rFonts w:ascii="Times New Roman" w:eastAsia="Times New Roman" w:hAnsi="Times New Roman" w:cs="Times New Roman"/>
          <w:sz w:val="25"/>
          <w:szCs w:val="25"/>
        </w:rPr>
        <w:t xml:space="preserve"> </w:t>
      </w:r>
      <w:r w:rsidRPr="001310CD">
        <w:rPr>
          <w:rFonts w:ascii="Times New Roman" w:eastAsia="Times New Roman" w:hAnsi="Times New Roman" w:cs="Times New Roman"/>
          <w:sz w:val="25"/>
          <w:szCs w:val="25"/>
        </w:rPr>
        <w:t xml:space="preserve">Learned counsel for the State submitted that there shall be early investigation in the matter and submission of Report under Section 173 of the Code shall be done without delay and in any event, not later than the end of February, 2009. We make it clear that we have not expressed any opinion on the merits of the case.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2F0AF8" w:rsidRPr="001310CD" w:rsidRDefault="002F0AF8" w:rsidP="001310CD">
      <w:pPr>
        <w:spacing w:after="0" w:line="240" w:lineRule="auto"/>
        <w:jc w:val="both"/>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13. All the appeals are allowed, as indicated above.</w:t>
      </w:r>
    </w:p>
    <w:p w:rsidR="002F0AF8" w:rsidRPr="001310CD" w:rsidRDefault="002F0AF8" w:rsidP="001310CD">
      <w:pPr>
        <w:spacing w:after="0" w:line="240" w:lineRule="auto"/>
        <w:rPr>
          <w:rFonts w:ascii="Times New Roman" w:eastAsia="Times New Roman" w:hAnsi="Times New Roman" w:cs="Times New Roman"/>
          <w:sz w:val="25"/>
          <w:szCs w:val="25"/>
        </w:rPr>
      </w:pPr>
      <w:r w:rsidRPr="001310CD">
        <w:rPr>
          <w:rFonts w:ascii="Times New Roman" w:eastAsia="Times New Roman" w:hAnsi="Times New Roman" w:cs="Times New Roman"/>
          <w:sz w:val="25"/>
          <w:szCs w:val="25"/>
        </w:rPr>
        <w:t> </w:t>
      </w:r>
    </w:p>
    <w:p w:rsidR="001310CD" w:rsidRPr="001310CD" w:rsidRDefault="001310CD" w:rsidP="001310CD">
      <w:pPr>
        <w:spacing w:after="0" w:line="240" w:lineRule="auto"/>
        <w:rPr>
          <w:rFonts w:ascii="Times New Roman" w:eastAsia="Times New Roman" w:hAnsi="Times New Roman" w:cs="Times New Roman"/>
          <w:i/>
        </w:rPr>
      </w:pPr>
      <w:r w:rsidRPr="001310CD">
        <w:rPr>
          <w:rFonts w:ascii="Times New Roman" w:eastAsia="Times New Roman" w:hAnsi="Times New Roman" w:cs="Times New Roman"/>
          <w:i/>
          <w:vertAlign w:val="superscript"/>
        </w:rPr>
        <w:t>1</w:t>
      </w:r>
      <w:r w:rsidRPr="001310CD">
        <w:rPr>
          <w:rFonts w:ascii="Times New Roman" w:eastAsia="Times New Roman" w:hAnsi="Times New Roman" w:cs="Times New Roman"/>
          <w:i/>
        </w:rPr>
        <w:t>(AIR 1960 SC 866)</w:t>
      </w:r>
      <w:r>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2</w:t>
      </w:r>
      <w:r w:rsidRPr="001310CD">
        <w:rPr>
          <w:rFonts w:ascii="Times New Roman" w:eastAsia="Times New Roman" w:hAnsi="Times New Roman" w:cs="Times New Roman"/>
          <w:i/>
        </w:rPr>
        <w:t xml:space="preserve">(1992 </w:t>
      </w:r>
      <w:proofErr w:type="spellStart"/>
      <w:r w:rsidRPr="001310CD">
        <w:rPr>
          <w:rFonts w:ascii="Times New Roman" w:eastAsia="Times New Roman" w:hAnsi="Times New Roman" w:cs="Times New Roman"/>
          <w:i/>
        </w:rPr>
        <w:t>Supp</w:t>
      </w:r>
      <w:proofErr w:type="spellEnd"/>
      <w:r w:rsidRPr="001310CD">
        <w:rPr>
          <w:rFonts w:ascii="Times New Roman" w:eastAsia="Times New Roman" w:hAnsi="Times New Roman" w:cs="Times New Roman"/>
          <w:i/>
        </w:rPr>
        <w:t xml:space="preserve"> (1) SCC 335) </w:t>
      </w:r>
      <w:r>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3</w:t>
      </w:r>
      <w:r w:rsidRPr="001310CD">
        <w:rPr>
          <w:rFonts w:ascii="Times New Roman" w:eastAsia="Times New Roman" w:hAnsi="Times New Roman" w:cs="Times New Roman"/>
          <w:i/>
        </w:rPr>
        <w:t xml:space="preserve">(AIR 1993 SC 892) </w:t>
      </w:r>
      <w:r>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4</w:t>
      </w:r>
      <w:r w:rsidRPr="001310CD">
        <w:rPr>
          <w:rFonts w:ascii="Times New Roman" w:eastAsia="Times New Roman" w:hAnsi="Times New Roman" w:cs="Times New Roman"/>
          <w:i/>
        </w:rPr>
        <w:t>(AIR 1964 SC 1)</w:t>
      </w:r>
    </w:p>
    <w:p w:rsidR="001310CD" w:rsidRPr="001310CD" w:rsidRDefault="001310CD" w:rsidP="001310CD">
      <w:pPr>
        <w:spacing w:after="0" w:line="240" w:lineRule="auto"/>
        <w:rPr>
          <w:rFonts w:ascii="Times New Roman" w:eastAsia="Times New Roman" w:hAnsi="Times New Roman" w:cs="Times New Roman"/>
          <w:i/>
        </w:rPr>
      </w:pPr>
      <w:r w:rsidRPr="001310CD">
        <w:rPr>
          <w:rFonts w:ascii="Times New Roman" w:eastAsia="Times New Roman" w:hAnsi="Times New Roman" w:cs="Times New Roman"/>
          <w:i/>
          <w:vertAlign w:val="superscript"/>
        </w:rPr>
        <w:t>5</w:t>
      </w:r>
      <w:r w:rsidRPr="001310CD">
        <w:rPr>
          <w:rFonts w:ascii="Times New Roman" w:eastAsia="Times New Roman" w:hAnsi="Times New Roman" w:cs="Times New Roman"/>
          <w:i/>
        </w:rPr>
        <w:t xml:space="preserve">(AIR 1990 SC 494) </w:t>
      </w:r>
      <w:r>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6</w:t>
      </w:r>
      <w:r w:rsidRPr="001310CD">
        <w:rPr>
          <w:rFonts w:ascii="Times New Roman" w:eastAsia="Times New Roman" w:hAnsi="Times New Roman" w:cs="Times New Roman"/>
          <w:i/>
        </w:rPr>
        <w:t xml:space="preserve">(1992 </w:t>
      </w:r>
      <w:proofErr w:type="spellStart"/>
      <w:r w:rsidRPr="001310CD">
        <w:rPr>
          <w:rFonts w:ascii="Times New Roman" w:eastAsia="Times New Roman" w:hAnsi="Times New Roman" w:cs="Times New Roman"/>
          <w:i/>
        </w:rPr>
        <w:t>Suppl</w:t>
      </w:r>
      <w:proofErr w:type="spellEnd"/>
      <w:r w:rsidRPr="001310CD">
        <w:rPr>
          <w:rFonts w:ascii="Times New Roman" w:eastAsia="Times New Roman" w:hAnsi="Times New Roman" w:cs="Times New Roman"/>
          <w:i/>
        </w:rPr>
        <w:t xml:space="preserve"> (1) SCC 222) </w:t>
      </w:r>
      <w:r>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7</w:t>
      </w:r>
      <w:r w:rsidRPr="001310CD">
        <w:rPr>
          <w:rFonts w:ascii="Times New Roman" w:eastAsia="Times New Roman" w:hAnsi="Times New Roman" w:cs="Times New Roman"/>
          <w:i/>
        </w:rPr>
        <w:t xml:space="preserve">(1995 (6) SCC 194) </w:t>
      </w:r>
      <w:r>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8</w:t>
      </w:r>
      <w:r w:rsidRPr="001310CD">
        <w:rPr>
          <w:rFonts w:ascii="Times New Roman" w:eastAsia="Times New Roman" w:hAnsi="Times New Roman" w:cs="Times New Roman"/>
          <w:i/>
        </w:rPr>
        <w:t>(1999 (2) SCC 651)</w:t>
      </w:r>
    </w:p>
    <w:p w:rsidR="001310CD" w:rsidRPr="001310CD" w:rsidRDefault="001310CD" w:rsidP="001310CD">
      <w:pPr>
        <w:spacing w:after="0" w:line="240" w:lineRule="auto"/>
        <w:rPr>
          <w:rFonts w:ascii="Times New Roman" w:eastAsia="Times New Roman" w:hAnsi="Times New Roman" w:cs="Times New Roman"/>
          <w:i/>
        </w:rPr>
      </w:pPr>
      <w:r w:rsidRPr="001310CD">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9</w:t>
      </w:r>
      <w:r w:rsidRPr="001310CD">
        <w:rPr>
          <w:rFonts w:ascii="Times New Roman" w:eastAsia="Times New Roman" w:hAnsi="Times New Roman" w:cs="Times New Roman"/>
          <w:i/>
        </w:rPr>
        <w:t xml:space="preserve">(1996 (7) SCC 705) </w:t>
      </w:r>
      <w:r>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10</w:t>
      </w:r>
      <w:r w:rsidRPr="001310CD">
        <w:rPr>
          <w:rFonts w:ascii="Times New Roman" w:eastAsia="Times New Roman" w:hAnsi="Times New Roman" w:cs="Times New Roman"/>
          <w:i/>
        </w:rPr>
        <w:t xml:space="preserve">(1997 2 SCC 397) </w:t>
      </w:r>
      <w:r>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11</w:t>
      </w:r>
      <w:r w:rsidRPr="001310CD">
        <w:rPr>
          <w:rFonts w:ascii="Times New Roman" w:eastAsia="Times New Roman" w:hAnsi="Times New Roman" w:cs="Times New Roman"/>
          <w:i/>
        </w:rPr>
        <w:t xml:space="preserve">(1999 (8) SCC 728) </w:t>
      </w:r>
      <w:r>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12</w:t>
      </w:r>
      <w:r w:rsidRPr="001310CD">
        <w:rPr>
          <w:rFonts w:ascii="Times New Roman" w:eastAsia="Times New Roman" w:hAnsi="Times New Roman" w:cs="Times New Roman"/>
          <w:i/>
        </w:rPr>
        <w:t>AIR 1999 SC 1216)</w:t>
      </w:r>
    </w:p>
    <w:p w:rsidR="00DB43DF" w:rsidRPr="001310CD" w:rsidRDefault="001310CD" w:rsidP="001310CD">
      <w:pPr>
        <w:spacing w:after="0" w:line="240" w:lineRule="auto"/>
        <w:rPr>
          <w:rFonts w:ascii="Times New Roman" w:hAnsi="Times New Roman" w:cs="Times New Roman"/>
          <w:i/>
        </w:rPr>
      </w:pPr>
      <w:r w:rsidRPr="001310CD">
        <w:rPr>
          <w:rFonts w:ascii="Times New Roman" w:eastAsia="Times New Roman" w:hAnsi="Times New Roman" w:cs="Times New Roman"/>
          <w:i/>
        </w:rPr>
        <w:t xml:space="preserve"> </w:t>
      </w:r>
      <w:r w:rsidRPr="001310CD">
        <w:rPr>
          <w:rFonts w:ascii="Times New Roman" w:eastAsia="Times New Roman" w:hAnsi="Times New Roman" w:cs="Times New Roman"/>
          <w:i/>
          <w:vertAlign w:val="superscript"/>
        </w:rPr>
        <w:t>13</w:t>
      </w:r>
      <w:r w:rsidRPr="001310CD">
        <w:rPr>
          <w:rFonts w:ascii="Times New Roman" w:eastAsia="Times New Roman" w:hAnsi="Times New Roman" w:cs="Times New Roman"/>
          <w:i/>
        </w:rPr>
        <w:t>(2002 (3) SCC 89)</w:t>
      </w:r>
    </w:p>
    <w:sectPr w:rsidR="00DB43DF" w:rsidRPr="001310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15D" w:rsidRDefault="0004715D" w:rsidP="00DA0365">
      <w:pPr>
        <w:spacing w:after="0" w:line="240" w:lineRule="auto"/>
      </w:pPr>
      <w:r>
        <w:separator/>
      </w:r>
    </w:p>
  </w:endnote>
  <w:endnote w:type="continuationSeparator" w:id="0">
    <w:p w:rsidR="0004715D" w:rsidRDefault="0004715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310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15D" w:rsidRDefault="0004715D" w:rsidP="00DA0365">
      <w:pPr>
        <w:spacing w:after="0" w:line="240" w:lineRule="auto"/>
      </w:pPr>
      <w:r>
        <w:separator/>
      </w:r>
    </w:p>
  </w:footnote>
  <w:footnote w:type="continuationSeparator" w:id="0">
    <w:p w:rsidR="0004715D" w:rsidRDefault="0004715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715D"/>
    <w:rsid w:val="001310CD"/>
    <w:rsid w:val="00174AA6"/>
    <w:rsid w:val="002F0AF8"/>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543359">
      <w:bodyDiv w:val="1"/>
      <w:marLeft w:val="0"/>
      <w:marRight w:val="0"/>
      <w:marTop w:val="0"/>
      <w:marBottom w:val="0"/>
      <w:divBdr>
        <w:top w:val="none" w:sz="0" w:space="0" w:color="auto"/>
        <w:left w:val="none" w:sz="0" w:space="0" w:color="auto"/>
        <w:bottom w:val="none" w:sz="0" w:space="0" w:color="auto"/>
        <w:right w:val="none" w:sz="0" w:space="0" w:color="auto"/>
      </w:divBdr>
      <w:divsChild>
        <w:div w:id="184157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2152</Words>
  <Characters>12268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2016-03-27T06:52:00Z</dcterms:created>
  <dcterms:modified xsi:type="dcterms:W3CDTF">2016-03-27T19:52:00Z</dcterms:modified>
</cp:coreProperties>
</file>