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054" w:rsidRPr="00A11054" w:rsidRDefault="00A11054" w:rsidP="00A11054">
      <w:pPr>
        <w:jc w:val="center"/>
        <w:rPr>
          <w:b/>
        </w:rPr>
      </w:pPr>
      <w:r w:rsidRPr="00A11054">
        <w:rPr>
          <w:b/>
        </w:rPr>
        <w:t>SUPREME COURT OF INDIA</w:t>
      </w:r>
    </w:p>
    <w:p w:rsidR="00A11054" w:rsidRDefault="00A11054" w:rsidP="00A11054">
      <w:pPr>
        <w:jc w:val="center"/>
      </w:pPr>
    </w:p>
    <w:p w:rsidR="00A11054" w:rsidRDefault="00A11054" w:rsidP="00A11054">
      <w:pPr>
        <w:jc w:val="center"/>
      </w:pPr>
      <w:r>
        <w:t>Medley Pharmaceuticals Ltd.</w:t>
      </w:r>
    </w:p>
    <w:p w:rsidR="00A11054" w:rsidRDefault="00A11054" w:rsidP="00A11054">
      <w:pPr>
        <w:jc w:val="center"/>
      </w:pPr>
    </w:p>
    <w:p w:rsidR="00A11054" w:rsidRDefault="00A11054" w:rsidP="00A11054">
      <w:pPr>
        <w:jc w:val="center"/>
      </w:pPr>
      <w:r>
        <w:t>Vs.</w:t>
      </w:r>
    </w:p>
    <w:p w:rsidR="00A11054" w:rsidRDefault="00A11054" w:rsidP="00A11054">
      <w:pPr>
        <w:jc w:val="center"/>
      </w:pPr>
    </w:p>
    <w:p w:rsidR="00A11054" w:rsidRDefault="00A11054" w:rsidP="00A11054">
      <w:pPr>
        <w:jc w:val="center"/>
      </w:pPr>
      <w:r>
        <w:t>The Commissioner of Central Excise &amp; Customs, Daman</w:t>
      </w:r>
    </w:p>
    <w:p w:rsidR="00A11054" w:rsidRDefault="00A11054" w:rsidP="00A11054">
      <w:pPr>
        <w:jc w:val="center"/>
      </w:pPr>
    </w:p>
    <w:p w:rsidR="00A11054" w:rsidRDefault="00A11054" w:rsidP="00A11054">
      <w:pPr>
        <w:jc w:val="center"/>
      </w:pPr>
      <w:r>
        <w:t>C.A.No.3626 of 2005</w:t>
      </w:r>
    </w:p>
    <w:p w:rsidR="00A11054" w:rsidRDefault="00A11054" w:rsidP="00A11054">
      <w:pPr>
        <w:jc w:val="center"/>
      </w:pPr>
    </w:p>
    <w:p w:rsidR="00A11054" w:rsidRDefault="00A11054" w:rsidP="00A11054">
      <w:pPr>
        <w:jc w:val="center"/>
      </w:pPr>
      <w:r>
        <w:t>(D.K.Jain and H.L.Dattu,JJ.,)</w:t>
      </w:r>
    </w:p>
    <w:p w:rsidR="00A11054" w:rsidRDefault="00A11054" w:rsidP="00A11054">
      <w:pPr>
        <w:jc w:val="center"/>
      </w:pPr>
    </w:p>
    <w:p w:rsidR="00A11054" w:rsidRDefault="00A11054" w:rsidP="00A11054">
      <w:pPr>
        <w:jc w:val="center"/>
      </w:pPr>
      <w:r>
        <w:t>14.01.2011</w:t>
      </w:r>
    </w:p>
    <w:p w:rsidR="00A11054" w:rsidRDefault="00A11054" w:rsidP="00A11054">
      <w:pPr>
        <w:jc w:val="center"/>
      </w:pPr>
    </w:p>
    <w:p w:rsidR="00A11054" w:rsidRPr="00A11054" w:rsidRDefault="00A11054" w:rsidP="00A11054">
      <w:pPr>
        <w:jc w:val="center"/>
        <w:rPr>
          <w:b/>
        </w:rPr>
      </w:pPr>
      <w:r w:rsidRPr="00A11054">
        <w:rPr>
          <w:b/>
        </w:rPr>
        <w:t>JUDGMENT</w:t>
      </w:r>
    </w:p>
    <w:p w:rsidR="00A11054" w:rsidRPr="00A11054" w:rsidRDefault="00A11054" w:rsidP="00A11054">
      <w:pPr>
        <w:jc w:val="both"/>
        <w:rPr>
          <w:b/>
        </w:rPr>
      </w:pPr>
    </w:p>
    <w:p w:rsidR="00A11054" w:rsidRPr="00A11054" w:rsidRDefault="00A11054" w:rsidP="00A11054">
      <w:pPr>
        <w:jc w:val="both"/>
        <w:rPr>
          <w:b/>
        </w:rPr>
      </w:pPr>
      <w:r w:rsidRPr="00A11054">
        <w:rPr>
          <w:b/>
        </w:rPr>
        <w:t>H.L.Dattu,J.,</w:t>
      </w:r>
    </w:p>
    <w:p w:rsidR="00A11054" w:rsidRDefault="00A11054" w:rsidP="00A11054">
      <w:pPr>
        <w:jc w:val="both"/>
      </w:pPr>
    </w:p>
    <w:p w:rsidR="00A11054" w:rsidRDefault="00A11054" w:rsidP="00A11054">
      <w:pPr>
        <w:jc w:val="both"/>
      </w:pPr>
      <w:r>
        <w:t>1.  A group of three appeals is filed by the appellant - Medley Pharmaceuticals Ltd., under Section 35 L (b) of the Central Excise Act, 1944 (hereinafter referred to as 'the Act'). In Civil Appeal No.3626 of 2005, the appellant calls in question the correctness or otherwise of the order passed by Customs Excise and Service Tax Appellate Tribunal (CESTAT) (in short, "The Tribunal") in Appeal No. E/549 to E 551/2003-Mum, dated 3.12.2004. By the impugned order, the Tribunal has confirmed the order passed by Commissioner of Customs and Central Excise, Valsad dated 30.12.2002. In this appeal, the appellant has raised the following question of law for our consideration and decision:-</w:t>
      </w:r>
    </w:p>
    <w:p w:rsidR="00A11054" w:rsidRDefault="00A11054" w:rsidP="00A11054">
      <w:pPr>
        <w:jc w:val="both"/>
      </w:pPr>
    </w:p>
    <w:p w:rsidR="00A11054" w:rsidRDefault="00A11054" w:rsidP="00A11054">
      <w:pPr>
        <w:ind w:left="720"/>
        <w:jc w:val="both"/>
      </w:pPr>
      <w:r>
        <w:t>"Whether Physician samples manufactured and distributed as free samples have to be assessed on the basis of cost of manufacture plus normal profits, if any, earned on the sale under Rule 6(b)(ii) of the Central Excise Valuation Rules, 1975 (for short, "Rules 1975") upto 1st July, 2000 and thereafter, on application of Rule 8 of Central Excise Valuation Rules, 2000 (for short, "Rules 2000") i.e. on cost of manufacture plus 15% profit basis and not on pro-rata basis as has been done by the Revenue?"</w:t>
      </w:r>
    </w:p>
    <w:p w:rsidR="00A11054" w:rsidRDefault="00A11054" w:rsidP="00A11054">
      <w:pPr>
        <w:jc w:val="both"/>
      </w:pPr>
    </w:p>
    <w:p w:rsidR="00A11054" w:rsidRDefault="00A11054" w:rsidP="00A11054">
      <w:pPr>
        <w:jc w:val="both"/>
      </w:pPr>
      <w:r>
        <w:t>2. The Commissioner, while passing the order in Original No. 01/MP/Valsad/2002 dated 30.12.2002, has held that the value should be determined under Rule 4 of Rules 1975. In the appeal filed by the appellant, the Tribunal, following the judgment in the case of Mayo India Ltd. and Cheryl Laboratories (P) Ltd., held that the value of Physician samples should be determined in accordance with the principle laid down in Rule 6(b)(i) read with Rule 7 of the Rules 2000. After coming to the aforesaid conclusion, the Tribunal has accepted the method of assessable value adopted by the Commissioner, though it was under Rule 4 of the Rules 1975.</w:t>
      </w:r>
    </w:p>
    <w:p w:rsidR="00A11054" w:rsidRDefault="00A11054" w:rsidP="00A11054">
      <w:pPr>
        <w:jc w:val="both"/>
      </w:pPr>
    </w:p>
    <w:p w:rsidR="00A11054" w:rsidRDefault="00A11054" w:rsidP="00A11054">
      <w:pPr>
        <w:jc w:val="both"/>
      </w:pPr>
      <w:r>
        <w:t xml:space="preserve">3. In Civil Appeal Nos. 1354-1355 of 2010, the appellant is aggrieved by the final order passed by the Tribunal, bearing No.A/490/WZB /AHD/2009 dated 27th February, 2009 and </w:t>
      </w:r>
      <w:r>
        <w:lastRenderedPageBreak/>
        <w:t>the order No.H/853/WZB/AHD/2009 dated 4th August, 2009 passed on the rectification application in Appeal No. E/384/2005. By the impugned order, the Tribunal dismissed the appellant's appeal and upheld the order passed by the Commissioner of Central Excise (Appeals) dated 24th November, 2004 holding that for the purpose of payment of Excise duty, Physician samples have to be valued for the period post 1st July, 2000 upto December, 2001 on pro-rata basis on the value of trade packs under Rule 4 read with Rule 11 of the Central Excise Valuation (Determination of Price of Excisable Goods) Rules 2000. The Tribunal, while rejecting the application filed for rectification of the order dated 27th February, 2009, held that merely because a product is statutorily prohibited from being sold, would not mean that the product is not capable of being sold. In this appeal, the appellant has raised the following questions of law for our consideration and decision. They are:-</w:t>
      </w:r>
    </w:p>
    <w:p w:rsidR="00A11054" w:rsidRDefault="00A11054" w:rsidP="00A11054">
      <w:pPr>
        <w:jc w:val="both"/>
      </w:pPr>
    </w:p>
    <w:p w:rsidR="00A11054" w:rsidRDefault="00A11054" w:rsidP="00A11054">
      <w:pPr>
        <w:ind w:left="720"/>
        <w:jc w:val="both"/>
      </w:pPr>
      <w:r>
        <w:rPr>
          <w:rFonts w:hint="eastAsia"/>
        </w:rPr>
        <w:t>“</w:t>
      </w:r>
      <w:r>
        <w:t>(A)</w:t>
      </w:r>
      <w:r>
        <w:tab/>
        <w:t>Whether "Physician Samples" are excisable goods in view of the fact that they are statutorily prohibited from being sold under the Drugs and Cosmetics Act, 1940 (in short, "Drugs Act") and the Rules made thereunder?</w:t>
      </w:r>
    </w:p>
    <w:p w:rsidR="00A11054" w:rsidRDefault="00A11054" w:rsidP="00A11054">
      <w:pPr>
        <w:ind w:left="720"/>
        <w:jc w:val="both"/>
      </w:pPr>
    </w:p>
    <w:p w:rsidR="00A11054" w:rsidRDefault="00A11054" w:rsidP="00A11054">
      <w:pPr>
        <w:ind w:left="720"/>
        <w:jc w:val="both"/>
      </w:pPr>
      <w:r>
        <w:t>(B)If physician's samples are held to be excisable, then what is the appropriate method of valuing physician samples for the purpose of excise duty?</w:t>
      </w:r>
      <w:r>
        <w:rPr>
          <w:rFonts w:hint="eastAsia"/>
        </w:rPr>
        <w:t>”</w:t>
      </w:r>
    </w:p>
    <w:p w:rsidR="00A11054" w:rsidRDefault="00A11054" w:rsidP="00A11054">
      <w:pPr>
        <w:ind w:left="720"/>
        <w:jc w:val="both"/>
      </w:pPr>
    </w:p>
    <w:p w:rsidR="00A11054" w:rsidRDefault="00A11054" w:rsidP="00A11054">
      <w:pPr>
        <w:jc w:val="both"/>
      </w:pPr>
      <w:r>
        <w:t>4. Shri S. Ganesh, learned senior counsel for the appellant, submitted that the Physician Samples of Patent and proprietory medicines come into existence as a manufactured product only when the same are labeled and packed for the purpose of sale and distribution. Our attention is invited to Note 5 of Chapter 30 of Central Excise Tariff Act, 1985, wherein it is provided that packing and labeling would amount to manufacture. Therefore, it is contended that the Physician Samples of Patent and proprietary Medicines become manufactured goods only when the same are packed and labeled. It is further contended that the physician samples of patent and proprietory medicines, at the time they are manufactured, are statutorily prohibited from being sold by virtue of Section 18 of the Drugs Act read with Rule 65(18) of the Drug Rules and the breach of the Drug Rules invites prosecution under Section 27(d) of the Drugs Act, and also invites penalty under Section 27(c) of the Drugs Act. It is further submitted that the two conditions that require to be satisfied for levy of excise duty are existence of manufacturing process and as a result of such process, goods are produced which are capable, in the ordinary course, of being taken to the market for being bought and sold. It is further submitted that the word 'excisable goods' has been construed to mean not only goods specified in the Schedule to the Central Excise Tariff Act, 1985, but also goods which are capable of being sold i.e. marketable. In the present case, the 'Physician Samples' are statutorily prohibited from being sold and therefore, do not satisfy the twin test required to make physician samples excisable goods.</w:t>
      </w:r>
    </w:p>
    <w:p w:rsidR="00A11054" w:rsidRDefault="00A11054" w:rsidP="00A11054">
      <w:pPr>
        <w:jc w:val="both"/>
      </w:pPr>
    </w:p>
    <w:p w:rsidR="00A11054" w:rsidRDefault="00A11054" w:rsidP="00A11054">
      <w:pPr>
        <w:jc w:val="both"/>
      </w:pPr>
      <w:r>
        <w:t>5. Shri R. P. Bhatt, learned senior counsel for the Revenue, justifies the reasoning and conclusion reached by the Tribunal.</w:t>
      </w:r>
    </w:p>
    <w:p w:rsidR="00A11054" w:rsidRDefault="00A11054" w:rsidP="00A11054">
      <w:pPr>
        <w:jc w:val="both"/>
      </w:pPr>
    </w:p>
    <w:p w:rsidR="00A11054" w:rsidRDefault="00A11054" w:rsidP="00A11054">
      <w:pPr>
        <w:jc w:val="both"/>
      </w:pPr>
      <w:r>
        <w:t xml:space="preserve">6. In pith and substance, the submission of learned senior counsel Shri Ganesh is that the physician samples of patent and proprietary medicines are statutorily prohibited from being </w:t>
      </w:r>
      <w:r>
        <w:lastRenderedPageBreak/>
        <w:t>sold by virtue of Rule 65(18) and Rule 95 and Rule 96 (1) (ix) of the Drugs Rules. It is contended that every drug intended for distribution as physicians sample while complying with the labeling provisions under Drugs and Cosmetic Rules further bear on the label of the container the words "Physician's Sample- Not to be Sold" requires to be over printed and further, the sale of such Physician samples is expressly prohibited under Rule 65 (18) of the Drug Rules. He contends that patent and proprietory drugs are excisable only after the labeling is complete. Since these physician samples cannot be sold in the market after the completion of the labeling in view of the statutory prohibition, the physician samples are not marketable and hence, no excise duty is leviable on their manufacture.</w:t>
      </w:r>
    </w:p>
    <w:p w:rsidR="00A11054" w:rsidRDefault="00A11054" w:rsidP="00A11054">
      <w:pPr>
        <w:jc w:val="both"/>
      </w:pPr>
    </w:p>
    <w:p w:rsidR="00A11054" w:rsidRDefault="00A11054" w:rsidP="00A11054">
      <w:pPr>
        <w:jc w:val="both"/>
      </w:pPr>
      <w:r>
        <w:t xml:space="preserve">7. The Central Excise Act, apart from others, provides for charging of duty, valuation etc. Section 3 of the Act is the charging provision. It states, there shall be levied and collected in such a manner as may be prescribed duties on excisable goods which are produced or manufactured in India. Basic excise duty and special excise duty are levied under the charging provision at the rates specified in First and Second Schedule to Central Excise Tariff Act, 1985. The duty is on excisable goods which are manufactured or produced in India. This Court in </w:t>
      </w:r>
      <w:r w:rsidRPr="00A11054">
        <w:rPr>
          <w:i/>
        </w:rPr>
        <w:t>Shinde Brothers vs. Deputy Commissioner</w:t>
      </w:r>
      <w:r w:rsidRPr="00A11054">
        <w:rPr>
          <w:i/>
          <w:sz w:val="20"/>
          <w:szCs w:val="20"/>
          <w:vertAlign w:val="superscript"/>
        </w:rPr>
        <w:t>1</w:t>
      </w:r>
      <w:r w:rsidRPr="00A11054">
        <w:rPr>
          <w:i/>
        </w:rPr>
        <w:t xml:space="preserve">, </w:t>
      </w:r>
      <w:r>
        <w:t xml:space="preserve">has held that excise duty is imposed on goods, and the taxable event for the levy is manufacture or production of the goods. A duty of excise is a tax upon the goods and not upon sales or proceeds of sale of goods. In terms of Entry 84, List I of Seventh Schedule to the Constitution, taxable event in respect of excise is manufacture or production (See </w:t>
      </w:r>
      <w:r w:rsidRPr="00A11054">
        <w:rPr>
          <w:i/>
        </w:rPr>
        <w:t>CCE vs. Acer India Ltd</w:t>
      </w:r>
      <w:r w:rsidRPr="00A11054">
        <w:rPr>
          <w:i/>
          <w:sz w:val="20"/>
          <w:szCs w:val="20"/>
          <w:vertAlign w:val="superscript"/>
        </w:rPr>
        <w:t>3</w:t>
      </w:r>
      <w:r w:rsidRPr="00A11054">
        <w:rPr>
          <w:i/>
        </w:rPr>
        <w:t>.,</w:t>
      </w:r>
      <w:r>
        <w:t xml:space="preserve">). The levy is on the manufacture or production of goods. The collection is shifted to stage of removal. Since excise is a duty on manufacture, duty is payable whether or not goods are sold. Therefore, sale is not necessary condition for charging excise duty. This Court in the case of </w:t>
      </w:r>
      <w:r w:rsidRPr="00A11054">
        <w:rPr>
          <w:i/>
        </w:rPr>
        <w:t>Ram Krishna Ramanath Agarwal Vs. Secretary, Municipal Commissioner, Kamptee</w:t>
      </w:r>
      <w:r w:rsidRPr="00A11054">
        <w:rPr>
          <w:i/>
          <w:sz w:val="20"/>
          <w:szCs w:val="20"/>
          <w:vertAlign w:val="superscript"/>
        </w:rPr>
        <w:t>2</w:t>
      </w:r>
      <w:r w:rsidRPr="00A11054">
        <w:rPr>
          <w:i/>
        </w:rPr>
        <w:t xml:space="preserve"> </w:t>
      </w:r>
      <w:r>
        <w:t xml:space="preserve">has referred to the distinction made by the Federal Court between the duty of excise and a tax on sale in </w:t>
      </w:r>
      <w:r w:rsidRPr="00A11054">
        <w:rPr>
          <w:i/>
        </w:rPr>
        <w:t>Province of Madras vs. Boddu Paidanna and Sons</w:t>
      </w:r>
      <w:r w:rsidRPr="00A11054">
        <w:rPr>
          <w:i/>
          <w:sz w:val="20"/>
          <w:szCs w:val="20"/>
          <w:vertAlign w:val="superscript"/>
        </w:rPr>
        <w:t>4</w:t>
      </w:r>
      <w:r>
        <w:t>, wherein it is observed: " Plainly, a tax levied on the first sale must, in the nature of things, be a tax on the sale by the manufacturer or producer; but it is levied upon him qua seller and not qua manufacturer or producer. It may well be that a manufacturer or producer is sometimes doubly hit... If the taxpayer who pays sales tax is also a manufacturer or producer of commodities subject to a central duty of excise, there may no doubt be overlapping in one sense, but there is no overlapping in law. The two taxes which he is called on to pay are economically two separate and distinct imposts. There is, in theory, nothing to prevent the Central Legislature from imposing a duty of excise on a commodity as soon as it comes into existence no matter what happens to it afterwards, whether it be sold consumed, destroyed, or given away... It is the fact of manufacture which attracts the duty even though it may be collected later. In the case of a sales tax, the liability to tax arises on the occasion of a sale and a sale has no necessary connection with manufacture or production." ..." [emphasis supplied]</w:t>
      </w:r>
    </w:p>
    <w:p w:rsidR="00A11054" w:rsidRDefault="00A11054" w:rsidP="00A11054">
      <w:pPr>
        <w:jc w:val="both"/>
      </w:pPr>
    </w:p>
    <w:p w:rsidR="00A11054" w:rsidRDefault="00A11054" w:rsidP="00A11054">
      <w:pPr>
        <w:jc w:val="both"/>
      </w:pPr>
      <w:r>
        <w:t xml:space="preserve">8. The consistent view of this Court is that for the purpose of levy of excise duty, an article must satisfy two requirements to be 'Goods' i.e. (a) it must be movable and (b) it must be marketable. In these appeals, we are primarily concerned whether the 'Goods' namely Physician samples of patent and proprietory medicines intended for distribution to the medical practitioner as free samples, satisfies the test of 'Marketability'. Marketability is an </w:t>
      </w:r>
      <w:r>
        <w:lastRenderedPageBreak/>
        <w:t>essential criteria for charging duty. The test of marketability is that the product which is made liable to duty must be marketable in the condition in which it emerges. The word 'Marketable' means saleable or suitable for sale. It need not in fact be marketed. The article should be capable of being sold to consumers, as it is without anything more. The essence of marketability of goods is neither in the form nor in the shape or condition in which the manufactured article is found. It is the commercial identity of the article known to the market for being bought and sold. The fact that the product in question is generally not being bought or sold or has no demand in the market, would be irrelevant. [</w:t>
      </w:r>
      <w:r w:rsidRPr="00A11054">
        <w:rPr>
          <w:i/>
        </w:rPr>
        <w:t>See Indian Cable Co. Ltd. vs. CCE</w:t>
      </w:r>
      <w:r w:rsidRPr="00A11054">
        <w:rPr>
          <w:i/>
          <w:sz w:val="20"/>
          <w:szCs w:val="20"/>
          <w:vertAlign w:val="superscript"/>
        </w:rPr>
        <w:t>5</w:t>
      </w:r>
      <w:r w:rsidRPr="00A11054">
        <w:rPr>
          <w:i/>
        </w:rPr>
        <w:t>,</w:t>
      </w:r>
      <w:r>
        <w:t>]. We will now refer to some of the decisions of this Court, which have explained the concept of 'Marketability' for the purpose of the Act.</w:t>
      </w:r>
    </w:p>
    <w:p w:rsidR="00A11054" w:rsidRDefault="00A11054" w:rsidP="00A11054">
      <w:pPr>
        <w:jc w:val="both"/>
      </w:pPr>
    </w:p>
    <w:p w:rsidR="00A11054" w:rsidRDefault="00A11054" w:rsidP="00A11054">
      <w:pPr>
        <w:jc w:val="both"/>
      </w:pPr>
      <w:r>
        <w:t xml:space="preserve">9.  The Constitution Bench of this Court, in the case of </w:t>
      </w:r>
      <w:r w:rsidRPr="00A11054">
        <w:rPr>
          <w:i/>
        </w:rPr>
        <w:t>Union of India vs.</w:t>
      </w:r>
      <w:r>
        <w:rPr>
          <w:i/>
        </w:rPr>
        <w:t xml:space="preserve"> Delhi Cloth and General Mills</w:t>
      </w:r>
      <w:r>
        <w:rPr>
          <w:i/>
          <w:sz w:val="20"/>
          <w:szCs w:val="20"/>
          <w:vertAlign w:val="superscript"/>
        </w:rPr>
        <w:t>7</w:t>
      </w:r>
      <w:r>
        <w:t xml:space="preserve"> after referring to definition of 'excisable goods', stated: "These definitions makes it clear that to become goods an article must be something which can ordinarily come to the market to be bought or sold".</w:t>
      </w:r>
    </w:p>
    <w:p w:rsidR="00A11054" w:rsidRDefault="00A11054" w:rsidP="00A11054">
      <w:pPr>
        <w:jc w:val="both"/>
      </w:pPr>
    </w:p>
    <w:p w:rsidR="00A11054" w:rsidRDefault="00A11054" w:rsidP="00A11054">
      <w:pPr>
        <w:jc w:val="both"/>
      </w:pPr>
      <w:r>
        <w:t xml:space="preserve">10.  A three Judge Bench of this Court in the case of </w:t>
      </w:r>
      <w:r w:rsidRPr="00A11054">
        <w:rPr>
          <w:i/>
        </w:rPr>
        <w:t>Union Carbide India Ltd. v. Union of India</w:t>
      </w:r>
      <w:r w:rsidRPr="00A11054">
        <w:rPr>
          <w:i/>
          <w:sz w:val="20"/>
          <w:szCs w:val="20"/>
          <w:vertAlign w:val="superscript"/>
        </w:rPr>
        <w:t>6</w:t>
      </w:r>
      <w:r w:rsidRPr="00A11054">
        <w:rPr>
          <w:i/>
        </w:rPr>
        <w:t xml:space="preserve">, </w:t>
      </w:r>
      <w:r>
        <w:t>has discussed the concept of 'marketability' in order for the Revenue to impose excise duty as under:</w:t>
      </w:r>
    </w:p>
    <w:p w:rsidR="00A11054" w:rsidRDefault="00A11054" w:rsidP="00A11054">
      <w:pPr>
        <w:jc w:val="both"/>
      </w:pPr>
    </w:p>
    <w:p w:rsidR="00A11054" w:rsidRDefault="00A11054" w:rsidP="00A11054">
      <w:pPr>
        <w:ind w:left="720"/>
        <w:jc w:val="both"/>
      </w:pPr>
      <w:r>
        <w:t>"6. It does seem to us that in order to attract excise duty the article manufactured must be capable of sale to a consumer. Entry 84 of List I of Schedule VII to the Constitution specifically speaks of "duties of excise on tobacco and other goods manufactured or produced in India....", and it is now well accepted that excise duty is an indirect tax, in which the burden of the imposition is passed on to the ultimate consumer. In that context, the expression "goods manufactured or produced" must refer to articles which are capable of being sold to a consumer. In Union of India v. Delhi Cloth &amp;amp; General Mills, AIR 1963 SC 791, this Court considered the meaning of the expression "goods" for the purposes of the Central Excises and Salt Act, 1944 and observed that "to become 'goods' an article must be something which can ordinarily come to the market to be brought and sold", a definition which was reiterated by this Court in South Bihar Sugar Mills Ltd. v. Union of India, AIR 1968 SC 922".</w:t>
      </w:r>
    </w:p>
    <w:p w:rsidR="00A11054" w:rsidRDefault="00A11054" w:rsidP="00A11054">
      <w:pPr>
        <w:jc w:val="both"/>
      </w:pPr>
    </w:p>
    <w:p w:rsidR="00A11054" w:rsidRDefault="00A11054" w:rsidP="00A11054">
      <w:pPr>
        <w:jc w:val="both"/>
      </w:pPr>
      <w:r>
        <w:t xml:space="preserve">11. In </w:t>
      </w:r>
      <w:r w:rsidRPr="00A11054">
        <w:rPr>
          <w:i/>
        </w:rPr>
        <w:t>Bhor Industries Ltd. vs. Collector of Central Excise, Bombay</w:t>
      </w:r>
      <w:r w:rsidRPr="00A11054">
        <w:rPr>
          <w:i/>
          <w:sz w:val="20"/>
          <w:szCs w:val="20"/>
          <w:vertAlign w:val="superscript"/>
        </w:rPr>
        <w:t>8</w:t>
      </w:r>
      <w:r w:rsidRPr="00A11054">
        <w:rPr>
          <w:i/>
        </w:rPr>
        <w:t xml:space="preserve">, </w:t>
      </w:r>
      <w:r>
        <w:t>it was held:</w:t>
      </w:r>
    </w:p>
    <w:p w:rsidR="00A11054" w:rsidRDefault="00A11054" w:rsidP="00A11054">
      <w:pPr>
        <w:jc w:val="both"/>
      </w:pPr>
    </w:p>
    <w:p w:rsidR="00A11054" w:rsidRDefault="00A11054" w:rsidP="00A11054">
      <w:pPr>
        <w:ind w:left="720"/>
        <w:jc w:val="both"/>
      </w:pPr>
      <w:r>
        <w:t xml:space="preserve">"Excise is a duty on goods as specified in the Schedule. The taxable event in the case of excise duties is the manufacture of goods. Under the Central Excise Act, as it stood at the relevant time, in order to be goods as specified in the entry, it was essential that as a result manufacture goods must come into existence. For articles to be goods these must be known in the market as such or these must be capable of being sold in the market as goods. Actual sale in the market is not necessary, user in the captive consumption is not determinative but the articles must be capable of being sold in the market or known in the market as goods. It is, therefore, necessary to find out whether there are goods, that is to say, articles as known in the market as separate distinct </w:t>
      </w:r>
      <w:r>
        <w:lastRenderedPageBreak/>
        <w:t>identifiable commodities and whether the tariff duty levied would be as specified in the Schedule. Simply because a certain article falls within the Schedule it would not be dutiable under excise law if the said article is not 'goods' known to the market. Marketability, therefore, is an essential ingredient in order to be dutiable under the Schedule to Central Excise Tariff Act, 1985."</w:t>
      </w:r>
    </w:p>
    <w:p w:rsidR="00A11054" w:rsidRDefault="00A11054" w:rsidP="00A11054">
      <w:pPr>
        <w:jc w:val="both"/>
      </w:pPr>
    </w:p>
    <w:p w:rsidR="00A11054" w:rsidRDefault="00A11054" w:rsidP="00A11054">
      <w:pPr>
        <w:jc w:val="both"/>
      </w:pPr>
      <w:r>
        <w:t xml:space="preserve">12.  In </w:t>
      </w:r>
      <w:r w:rsidRPr="00A11054">
        <w:rPr>
          <w:i/>
        </w:rPr>
        <w:t>Hindustan Polymers v. CCE</w:t>
      </w:r>
      <w:r w:rsidRPr="00A11054">
        <w:rPr>
          <w:i/>
          <w:sz w:val="20"/>
          <w:szCs w:val="20"/>
          <w:vertAlign w:val="superscript"/>
        </w:rPr>
        <w:t>9</w:t>
      </w:r>
      <w:r>
        <w:t>, this Court observed:</w:t>
      </w:r>
    </w:p>
    <w:p w:rsidR="00A11054" w:rsidRDefault="00A11054" w:rsidP="00A11054">
      <w:pPr>
        <w:jc w:val="both"/>
      </w:pPr>
    </w:p>
    <w:p w:rsidR="00A11054" w:rsidRDefault="00A11054" w:rsidP="00A11054">
      <w:pPr>
        <w:ind w:left="720"/>
        <w:jc w:val="both"/>
      </w:pPr>
      <w:r>
        <w:t>"11. Excise duty is a duty on the act of manufacture. Manufacture under the excise law, is the process or activity which brings into being articles which are known in the market as goods and to be goods these must be different, identifiable and distinct articles known to the market as such. It is then and then only that manufacture takes place attracting duty. In order to be goods, it was essential that as a result of the activity, goods must come into existence. For articles to be goods, these must be known in the market as such and these must be capable of being sold or are being sold in the market as such. In order, therefore, to be manufacture, there must be activity which brings transformation to the article in such a manner that different and distinct article comes into being which is known as such in the market."</w:t>
      </w:r>
    </w:p>
    <w:p w:rsidR="00A11054" w:rsidRDefault="00A11054" w:rsidP="00A11054">
      <w:pPr>
        <w:jc w:val="both"/>
      </w:pPr>
    </w:p>
    <w:p w:rsidR="00A11054" w:rsidRDefault="00A11054" w:rsidP="00A11054">
      <w:pPr>
        <w:jc w:val="both"/>
      </w:pPr>
      <w:r>
        <w:t xml:space="preserve">13.  In </w:t>
      </w:r>
      <w:r w:rsidRPr="00A11054">
        <w:rPr>
          <w:i/>
        </w:rPr>
        <w:t>A.P. State Electricity Board vs. CCE, Hyderabad</w:t>
      </w:r>
      <w:r w:rsidRPr="00A11054">
        <w:rPr>
          <w:i/>
          <w:sz w:val="20"/>
          <w:szCs w:val="20"/>
          <w:vertAlign w:val="superscript"/>
        </w:rPr>
        <w:t>10</w:t>
      </w:r>
      <w:r w:rsidRPr="00A11054">
        <w:rPr>
          <w:i/>
        </w:rPr>
        <w:t xml:space="preserve">, </w:t>
      </w:r>
      <w:r>
        <w:t>this Court stated:</w:t>
      </w:r>
    </w:p>
    <w:p w:rsidR="00A11054" w:rsidRDefault="00A11054" w:rsidP="00A11054">
      <w:pPr>
        <w:jc w:val="both"/>
      </w:pPr>
    </w:p>
    <w:p w:rsidR="00A11054" w:rsidRDefault="00A11054" w:rsidP="00A11054">
      <w:pPr>
        <w:ind w:left="720"/>
        <w:jc w:val="both"/>
      </w:pPr>
      <w:r>
        <w:t>"Marketability is an essential ingredient in order to be dutiable under the Schedule to the Act The 'marketability' is thus essentially a question of fact to be decided in the facts of each case. There can be no generalization. The fact that the goods are not in fact marketed is of no relevance. So long as the goods were marketable, they are goods for the purposes of Section 3. It is not also necessary that the goods in question should be generally available in the market. Even if the goods are available from only one source or from a specified market, it makes no difference so long as they are available for purchasers  The marketability of articles does not depend upon the number of purchasers nor is the market confined to the territorial limits of this country."</w:t>
      </w:r>
    </w:p>
    <w:p w:rsidR="00A11054" w:rsidRDefault="00A11054" w:rsidP="00A11054">
      <w:pPr>
        <w:jc w:val="both"/>
      </w:pPr>
    </w:p>
    <w:p w:rsidR="00A11054" w:rsidRDefault="00A11054" w:rsidP="00A11054">
      <w:pPr>
        <w:jc w:val="both"/>
      </w:pPr>
      <w:r>
        <w:t xml:space="preserve">14.  In </w:t>
      </w:r>
      <w:r w:rsidRPr="00A11054">
        <w:rPr>
          <w:i/>
        </w:rPr>
        <w:t>Indian Cable Company Ltd.., Calcutta vs. Collect</w:t>
      </w:r>
      <w:r>
        <w:rPr>
          <w:i/>
        </w:rPr>
        <w:t>or of Central Excise and Others</w:t>
      </w:r>
      <w:r w:rsidRPr="00A11054">
        <w:rPr>
          <w:i/>
          <w:sz w:val="20"/>
          <w:szCs w:val="20"/>
          <w:vertAlign w:val="superscript"/>
        </w:rPr>
        <w:t>11</w:t>
      </w:r>
      <w:r w:rsidRPr="00A11054">
        <w:rPr>
          <w:i/>
        </w:rPr>
        <w:t xml:space="preserve"> </w:t>
      </w:r>
      <w:r>
        <w:t xml:space="preserve">, this Court has stated: "Marketability is a decisive test for dutiability. It only means 'saleable' or "suitable for sale". It need not be in fact 'marketed'. The article should be capable of being sold or being sold, to consumers in the market, as it is </w:t>
      </w:r>
      <w:r>
        <w:rPr>
          <w:rFonts w:hint="eastAsia"/>
        </w:rPr>
        <w:t>—</w:t>
      </w:r>
      <w:r>
        <w:t xml:space="preserve"> without anything more."</w:t>
      </w:r>
    </w:p>
    <w:p w:rsidR="00A11054" w:rsidRDefault="00A11054" w:rsidP="00A11054">
      <w:pPr>
        <w:jc w:val="both"/>
      </w:pPr>
    </w:p>
    <w:p w:rsidR="00A11054" w:rsidRDefault="00A11054" w:rsidP="00A11054">
      <w:pPr>
        <w:jc w:val="both"/>
      </w:pPr>
      <w:r>
        <w:t xml:space="preserve">15.  In </w:t>
      </w:r>
      <w:r w:rsidRPr="00A11054">
        <w:rPr>
          <w:i/>
        </w:rPr>
        <w:t>Triveni Engine</w:t>
      </w:r>
      <w:r>
        <w:rPr>
          <w:i/>
        </w:rPr>
        <w:t>ering &amp; Industries Ltd. v. CCE</w:t>
      </w:r>
      <w:r w:rsidRPr="00A11054">
        <w:rPr>
          <w:i/>
          <w:sz w:val="20"/>
          <w:szCs w:val="20"/>
          <w:vertAlign w:val="superscript"/>
        </w:rPr>
        <w:t>12</w:t>
      </w:r>
      <w:r w:rsidRPr="00A11054">
        <w:rPr>
          <w:i/>
        </w:rPr>
        <w:t>,</w:t>
      </w:r>
      <w:r>
        <w:t xml:space="preserve"> this Court, while demonstrating the attributes of excisable goods under the excise law, has observed that:</w:t>
      </w:r>
    </w:p>
    <w:p w:rsidR="00A11054" w:rsidRDefault="00A11054" w:rsidP="00A11054">
      <w:pPr>
        <w:jc w:val="both"/>
      </w:pPr>
    </w:p>
    <w:p w:rsidR="00A11054" w:rsidRDefault="00A11054" w:rsidP="00A11054">
      <w:pPr>
        <w:ind w:left="720"/>
        <w:jc w:val="both"/>
      </w:pPr>
      <w:r>
        <w:t>"13. ... The article in question should be capable of being brought and sold in the market -- a test which is too well established by a series of decisions of this Court to be elaborated here."</w:t>
      </w:r>
    </w:p>
    <w:p w:rsidR="00A11054" w:rsidRDefault="00A11054" w:rsidP="00A11054">
      <w:pPr>
        <w:ind w:left="720"/>
        <w:jc w:val="both"/>
      </w:pPr>
    </w:p>
    <w:p w:rsidR="00A11054" w:rsidRDefault="00A11054" w:rsidP="00A11054">
      <w:pPr>
        <w:jc w:val="both"/>
      </w:pPr>
      <w:r>
        <w:lastRenderedPageBreak/>
        <w:t xml:space="preserve">16.  In </w:t>
      </w:r>
      <w:r w:rsidRPr="00A11054">
        <w:rPr>
          <w:i/>
        </w:rPr>
        <w:t>Union of India v. Sonic Electrochem (P) Ltd.</w:t>
      </w:r>
      <w:r w:rsidRPr="00A11054">
        <w:rPr>
          <w:i/>
          <w:sz w:val="20"/>
          <w:szCs w:val="20"/>
          <w:vertAlign w:val="superscript"/>
        </w:rPr>
        <w:t>13</w:t>
      </w:r>
      <w:r w:rsidRPr="00A11054">
        <w:rPr>
          <w:i/>
        </w:rPr>
        <w:t xml:space="preserve">, </w:t>
      </w:r>
      <w:r>
        <w:t>this court has held:</w:t>
      </w:r>
    </w:p>
    <w:p w:rsidR="00A11054" w:rsidRDefault="00A11054" w:rsidP="00A11054">
      <w:pPr>
        <w:jc w:val="both"/>
      </w:pPr>
    </w:p>
    <w:p w:rsidR="00A11054" w:rsidRDefault="00A11054" w:rsidP="00A11054">
      <w:pPr>
        <w:ind w:left="720"/>
        <w:jc w:val="both"/>
      </w:pPr>
      <w:r>
        <w:t>"9. ... It is difficult to lay down a precise test to determine marketability of articles. Marketability of goods has certain attributes. The essence of marketability is neither in the form nor in the shape or condition in which the manufactured articles are to be found, it is the commercial identity of the articles known to the market for being bought and sold. The fact that the product in question is generally not being bought and sold or has no demand in the market would be irrelevant."</w:t>
      </w:r>
    </w:p>
    <w:p w:rsidR="00A11054" w:rsidRDefault="00A11054" w:rsidP="00A11054">
      <w:pPr>
        <w:jc w:val="both"/>
      </w:pPr>
    </w:p>
    <w:p w:rsidR="00A11054" w:rsidRDefault="00A11054" w:rsidP="00A11054">
      <w:pPr>
        <w:jc w:val="both"/>
      </w:pPr>
      <w:r>
        <w:t>17.  In the case of</w:t>
      </w:r>
      <w:r w:rsidRPr="00A11054">
        <w:rPr>
          <w:i/>
        </w:rPr>
        <w:t xml:space="preserve"> ITC Ltd. v. Collector of Central Excise, Patna</w:t>
      </w:r>
      <w:r w:rsidRPr="00A11054">
        <w:rPr>
          <w:i/>
          <w:sz w:val="20"/>
          <w:szCs w:val="20"/>
          <w:vertAlign w:val="superscript"/>
        </w:rPr>
        <w:t>14</w:t>
      </w:r>
      <w:r w:rsidRPr="00A11054">
        <w:rPr>
          <w:i/>
        </w:rPr>
        <w:t xml:space="preserve">, </w:t>
      </w:r>
      <w:r>
        <w:t>this Court while applying the test of marketability for the purpose of levy of excise duty on the manufacture of the cigarette, has observed:</w:t>
      </w:r>
    </w:p>
    <w:p w:rsidR="00A11054" w:rsidRDefault="00A11054" w:rsidP="00A11054">
      <w:pPr>
        <w:jc w:val="both"/>
      </w:pPr>
    </w:p>
    <w:p w:rsidR="00A11054" w:rsidRDefault="00A11054" w:rsidP="00A11054">
      <w:pPr>
        <w:ind w:left="720"/>
        <w:jc w:val="both"/>
      </w:pPr>
      <w:r>
        <w:t>"17. From a conspectus of the aforesaid decisions, it would be clear that for the purposes of levy of excise duty, the test to be applied is whether the goods manufactured are marketable or not. In the present case, the cigarette, which is the end product of tobacco, is fit for consumption before the same is removed for test. Packing of the cigarettes cannot be said to be incidental or ancillary to the manufacturing process, but the same may be incidental or ancillary to its sale only. In case it is laid down that packing of cigarettes is incidental or ancillary to the completion of manufactured products, the same may result in evasion of excise duty as before packing the cigarettes the same may be regularly supplied to each and every employee for his consumption without payment of excise duty thereon. The definition of "manufacture" under Section 2(f) very clearly includes process which is incidental or ancillary to the completion of manufactured product. Manufacture of cigarette is completed when the same emerges in the form of sticks of cigarettes which are sent to the laboratory for quality control test. Sticks of cigarettes can be consumed and manufacture of the end product i.e. cigarette, which is commercially known in the market as such, is completed before its removal for test and after testing only packing of the same, which is the requirement of Rule 93 of the Rules, is done. Thus, we hold that sticks of cigarettes which are removed for the purpose of test in the quality control laboratory located within the factory premises of the appellant Company are liable to excise duty."</w:t>
      </w:r>
    </w:p>
    <w:p w:rsidR="00A11054" w:rsidRDefault="00A11054" w:rsidP="00A11054">
      <w:pPr>
        <w:jc w:val="both"/>
      </w:pPr>
    </w:p>
    <w:p w:rsidR="00A11054" w:rsidRDefault="00A11054" w:rsidP="00A11054">
      <w:pPr>
        <w:jc w:val="both"/>
      </w:pPr>
      <w:r>
        <w:t xml:space="preserve">18.  In the case of </w:t>
      </w:r>
      <w:r w:rsidRPr="00A11054">
        <w:rPr>
          <w:i/>
        </w:rPr>
        <w:t>Cadila Laboratories (P) Ltd v. CCE, Vadodara</w:t>
      </w:r>
      <w:r w:rsidRPr="00A11054">
        <w:rPr>
          <w:i/>
          <w:sz w:val="20"/>
          <w:szCs w:val="20"/>
          <w:vertAlign w:val="superscript"/>
        </w:rPr>
        <w:t>15</w:t>
      </w:r>
      <w:r w:rsidRPr="00A11054">
        <w:rPr>
          <w:i/>
        </w:rPr>
        <w:t xml:space="preserve">, </w:t>
      </w:r>
      <w:r>
        <w:t>this Court has held:</w:t>
      </w:r>
    </w:p>
    <w:p w:rsidR="00A11054" w:rsidRDefault="00A11054" w:rsidP="00A11054">
      <w:pPr>
        <w:jc w:val="both"/>
      </w:pPr>
    </w:p>
    <w:p w:rsidR="00A11054" w:rsidRDefault="00A11054" w:rsidP="00A11054">
      <w:pPr>
        <w:ind w:left="720"/>
        <w:jc w:val="both"/>
      </w:pPr>
      <w:r>
        <w:t>"9. Thus the law is that in order to be excisable, not only goods must be manufactured i.e. some new product brought into existence, but the goods must be marketable. By marketable it does not mean that the goods must be actually bought and sold in the market. But the goods must be capable of being bought or sold in the market. The law also is that goods which are in the crude or unstable form and which require a further processing before they can be marketed, cannot be considered to be marketable goods merely because they fall within the Schedule to the Excise Act".</w:t>
      </w:r>
    </w:p>
    <w:p w:rsidR="00A11054" w:rsidRDefault="00A11054" w:rsidP="00A11054">
      <w:pPr>
        <w:jc w:val="both"/>
      </w:pPr>
    </w:p>
    <w:p w:rsidR="00A11054" w:rsidRDefault="00A11054" w:rsidP="00A11054">
      <w:pPr>
        <w:jc w:val="both"/>
      </w:pPr>
      <w:r>
        <w:t xml:space="preserve">19.  In </w:t>
      </w:r>
      <w:r w:rsidRPr="00A11054">
        <w:rPr>
          <w:i/>
        </w:rPr>
        <w:t>Hindustan Zinc Ltd. v. CCE</w:t>
      </w:r>
      <w:r w:rsidRPr="00A11054">
        <w:rPr>
          <w:i/>
          <w:sz w:val="20"/>
          <w:szCs w:val="20"/>
          <w:vertAlign w:val="superscript"/>
        </w:rPr>
        <w:t>16</w:t>
      </w:r>
      <w:r w:rsidRPr="00A11054">
        <w:rPr>
          <w:i/>
        </w:rPr>
        <w:t xml:space="preserve">, </w:t>
      </w:r>
      <w:r>
        <w:t>this Court observed:</w:t>
      </w:r>
    </w:p>
    <w:p w:rsidR="00A11054" w:rsidRDefault="00A11054" w:rsidP="00A11054">
      <w:pPr>
        <w:jc w:val="both"/>
      </w:pPr>
    </w:p>
    <w:p w:rsidR="00A11054" w:rsidRDefault="00A11054" w:rsidP="00A11054">
      <w:pPr>
        <w:ind w:left="720"/>
        <w:jc w:val="both"/>
      </w:pPr>
      <w:r>
        <w:t>"5. Excise duty is levied under Section 3 on goods manufactured or produced in India. Thus, before excise duty is levied on an item, even if it is mentioned in the tariff, two conditions have to be cumulatively satisfied, namely, that the process by which an item is obtained is a process of manufacture and that the item so obtained is commercially marketable and bought and sold in the market or known to be so in the market."</w:t>
      </w:r>
    </w:p>
    <w:p w:rsidR="00A11054" w:rsidRDefault="00A11054" w:rsidP="00A11054">
      <w:pPr>
        <w:jc w:val="both"/>
      </w:pPr>
    </w:p>
    <w:p w:rsidR="00A11054" w:rsidRDefault="00A11054" w:rsidP="00A11054">
      <w:pPr>
        <w:jc w:val="both"/>
      </w:pPr>
      <w:r>
        <w:t xml:space="preserve">20. In </w:t>
      </w:r>
      <w:r w:rsidRPr="00A11054">
        <w:rPr>
          <w:i/>
        </w:rPr>
        <w:t>Dharampal Satyapal v. CCE</w:t>
      </w:r>
      <w:r w:rsidRPr="00A11054">
        <w:rPr>
          <w:i/>
          <w:sz w:val="20"/>
          <w:szCs w:val="20"/>
          <w:vertAlign w:val="superscript"/>
        </w:rPr>
        <w:t>17</w:t>
      </w:r>
      <w:r w:rsidRPr="00A11054">
        <w:rPr>
          <w:i/>
        </w:rPr>
        <w:t xml:space="preserve">, </w:t>
      </w:r>
      <w:r>
        <w:t>it was held by this Court:</w:t>
      </w:r>
    </w:p>
    <w:p w:rsidR="00A11054" w:rsidRDefault="00A11054" w:rsidP="00A11054">
      <w:pPr>
        <w:ind w:left="720"/>
        <w:jc w:val="both"/>
      </w:pPr>
    </w:p>
    <w:p w:rsidR="00A11054" w:rsidRDefault="00A11054" w:rsidP="00A11054">
      <w:pPr>
        <w:ind w:left="720"/>
        <w:jc w:val="both"/>
      </w:pPr>
      <w:r>
        <w:t>"18. ... Marketability is an attribute of manufacture. It is an essential criteria for charging duty. Identity of the product and marketability are the twin aspects to decide chargeability. Dutiability of the product depends on whether the product is known to the market. The test of marketability is that the product which is made liable to duty must be marketable in the condition in which it emerges. Marketable means saleable. The test of classification is, how are the goods known in the market. These tests have been laid down by this Court in a number of judgments including Moti Laminates (P) Ltd. v. CCE (1995) 3 SCC 23, Union of India v. Delhi Cloth &amp;amp; General Mills Co. Ltd. (1997) 5 SCC 767 and Cadila Laboratories (P) Ltd. v. CCE (2003) 4 SCC 12"</w:t>
      </w:r>
    </w:p>
    <w:p w:rsidR="00A11054" w:rsidRDefault="00A11054" w:rsidP="00A11054">
      <w:pPr>
        <w:jc w:val="both"/>
      </w:pPr>
    </w:p>
    <w:p w:rsidR="00A11054" w:rsidRDefault="00A11054" w:rsidP="00A11054">
      <w:pPr>
        <w:jc w:val="both"/>
      </w:pPr>
      <w:r>
        <w:t xml:space="preserve">21.  In </w:t>
      </w:r>
      <w:r w:rsidRPr="00A11054">
        <w:rPr>
          <w:i/>
        </w:rPr>
        <w:t xml:space="preserve">Gujarat Narmada Valley Fertilizer Co. Ltd. vs. </w:t>
      </w:r>
      <w:r>
        <w:rPr>
          <w:i/>
        </w:rPr>
        <w:t>Collector of Excise and Customs</w:t>
      </w:r>
      <w:r w:rsidRPr="00A11054">
        <w:rPr>
          <w:i/>
          <w:sz w:val="20"/>
          <w:szCs w:val="20"/>
          <w:vertAlign w:val="superscript"/>
        </w:rPr>
        <w:t>18</w:t>
      </w:r>
      <w:r w:rsidRPr="00A11054">
        <w:rPr>
          <w:i/>
        </w:rPr>
        <w:t xml:space="preserve"> </w:t>
      </w:r>
      <w:r>
        <w:t>, it was held that unless the product is capable of being marketed and is known to those who are in the market, as having an identity as a distinct and identifiable commodity, that the article is subject to excise duty. Simply because certain articles fall within the Schedule does not make them marketable. Actual sale in market is not necessary, but the articles must be capable of being sold in the market or known in the market as goods.</w:t>
      </w:r>
    </w:p>
    <w:p w:rsidR="00A11054" w:rsidRDefault="00A11054" w:rsidP="00A11054">
      <w:pPr>
        <w:jc w:val="both"/>
      </w:pPr>
    </w:p>
    <w:p w:rsidR="00A11054" w:rsidRDefault="00A11054" w:rsidP="00A11054">
      <w:pPr>
        <w:jc w:val="both"/>
      </w:pPr>
      <w:r>
        <w:t xml:space="preserve">22.  In </w:t>
      </w:r>
      <w:r w:rsidRPr="00A11054">
        <w:rPr>
          <w:i/>
        </w:rPr>
        <w:t>Moriroku UT India (P) Ltd. vs. State of Uttar Pradesh and Ors.</w:t>
      </w:r>
      <w:r w:rsidRPr="00A11054">
        <w:rPr>
          <w:i/>
          <w:sz w:val="20"/>
          <w:szCs w:val="20"/>
          <w:vertAlign w:val="superscript"/>
        </w:rPr>
        <w:t>19</w:t>
      </w:r>
      <w:r w:rsidRPr="00A11054">
        <w:rPr>
          <w:i/>
        </w:rPr>
        <w:t xml:space="preserve">, </w:t>
      </w:r>
      <w:r>
        <w:t>it was observed that excise duty is a levy on a taxable event of 'manufacture'. Liability under excise law is event based on manufacture and irrespective of whether the goods are sold or captively consumed. Excise duty is not concerned with ownership or sale.</w:t>
      </w:r>
    </w:p>
    <w:p w:rsidR="00A11054" w:rsidRDefault="00A11054" w:rsidP="00A11054">
      <w:pPr>
        <w:jc w:val="both"/>
      </w:pPr>
    </w:p>
    <w:p w:rsidR="00A11054" w:rsidRDefault="00A11054" w:rsidP="00A11054">
      <w:pPr>
        <w:jc w:val="both"/>
      </w:pPr>
      <w:r>
        <w:t xml:space="preserve">23. Having said so in so far as exciseability of Goods for the purpose of duty under the Act, we may notice the purpose and object of Drugs Act. In our opinion, the main object or real purpose of the Drugs Act, 1940 and Rules made thereunder, is to regulate the manufacture of drugs in order to maintain the standard or quality of drugs for sale and distribution as a drug. This Court in </w:t>
      </w:r>
      <w:r w:rsidRPr="00A11054">
        <w:rPr>
          <w:i/>
        </w:rPr>
        <w:t>State of Bihar v. Shree Baidyanath Ayurved Bhawan (P) Ltd.</w:t>
      </w:r>
      <w:r w:rsidRPr="00A11054">
        <w:rPr>
          <w:i/>
          <w:sz w:val="20"/>
          <w:szCs w:val="20"/>
          <w:vertAlign w:val="superscript"/>
        </w:rPr>
        <w:t>20</w:t>
      </w:r>
      <w:r w:rsidRPr="00A11054">
        <w:rPr>
          <w:i/>
        </w:rPr>
        <w:t xml:space="preserve">, </w:t>
      </w:r>
      <w:r>
        <w:t>has held:</w:t>
      </w:r>
    </w:p>
    <w:p w:rsidR="00A11054" w:rsidRDefault="00A11054" w:rsidP="00A11054">
      <w:pPr>
        <w:jc w:val="both"/>
      </w:pPr>
    </w:p>
    <w:p w:rsidR="00A11054" w:rsidRDefault="00A11054" w:rsidP="00A11054">
      <w:pPr>
        <w:ind w:left="720"/>
        <w:jc w:val="both"/>
      </w:pPr>
      <w:r>
        <w:t xml:space="preserve"> "14. ... The object of the Drugs Act is to maintain the quality of drugs as drugs. Its use as any other commodity in the hands of the consumer is not regulated. Hence, the Drugs Act is relatable to Entry 19 of List III, which deals with drugs and poisons, subject to Entry 59 of List I regarding opium. Lastly, the said Act regulates the manufacture of drug for sale and distribution as a drug."</w:t>
      </w:r>
    </w:p>
    <w:p w:rsidR="00A11054" w:rsidRDefault="00A11054" w:rsidP="00A11054">
      <w:pPr>
        <w:jc w:val="both"/>
      </w:pPr>
    </w:p>
    <w:p w:rsidR="00A11054" w:rsidRDefault="00A11054" w:rsidP="00A11054">
      <w:pPr>
        <w:jc w:val="both"/>
      </w:pPr>
      <w:r>
        <w:lastRenderedPageBreak/>
        <w:t>24. Therefore, any requirement or condition imposed by the Drugs Act and Rules made thereunder, is in furtherance of its above stated object of regulating and maintaining the quality of Drugs.</w:t>
      </w:r>
    </w:p>
    <w:p w:rsidR="00A11054" w:rsidRDefault="00A11054" w:rsidP="00A11054">
      <w:pPr>
        <w:jc w:val="both"/>
      </w:pPr>
    </w:p>
    <w:p w:rsidR="00A11054" w:rsidRDefault="00A11054" w:rsidP="00A11054">
      <w:pPr>
        <w:jc w:val="both"/>
      </w:pPr>
      <w:r>
        <w:t xml:space="preserve">25. The primary object of the Act is to raise revenue by imposing duty on goods that are manufactured as mentioned above (see Kedia Agglomerated Marbles Ltd. v. CCE, (2003) 2 SCC 494). In other words, the scope of the Act extends to the event of manufacture of goods, for the levy of excise duty. These two Statutes and the Rules made thereunder, operate in entirely two different fields having different objects, purposes and schemes. The conditions or restrictions contemplated by one statute should not be lightly and mechanically imported and applied to fiscal statue for non levy of excise duty, thereby causing a loss of revenue. This Court in </w:t>
      </w:r>
      <w:r w:rsidRPr="00A11054">
        <w:rPr>
          <w:i/>
        </w:rPr>
        <w:t>CCE v. Shree Baidyanath Ayurved Bhavan Ltd</w:t>
      </w:r>
      <w:r w:rsidRPr="00A11054">
        <w:rPr>
          <w:i/>
          <w:sz w:val="20"/>
          <w:szCs w:val="20"/>
          <w:vertAlign w:val="superscript"/>
        </w:rPr>
        <w:t>21</w:t>
      </w:r>
      <w:r w:rsidRPr="00A11054">
        <w:rPr>
          <w:i/>
        </w:rPr>
        <w:t>.,</w:t>
      </w:r>
      <w:r>
        <w:t xml:space="preserve"> has held:</w:t>
      </w:r>
    </w:p>
    <w:p w:rsidR="00A11054" w:rsidRDefault="00A11054" w:rsidP="00A11054">
      <w:pPr>
        <w:jc w:val="both"/>
      </w:pPr>
    </w:p>
    <w:p w:rsidR="00A11054" w:rsidRDefault="00A11054" w:rsidP="00A11054">
      <w:pPr>
        <w:ind w:left="720"/>
        <w:jc w:val="both"/>
      </w:pPr>
      <w:r>
        <w:t>"55. True it is that Section 3(a) of the Drugs and Cosmetics Act, 1940 defines "Ayurvedic, siddha or unani drug" but that definition is not necessary to be imported in the new Tariff Act. The definition of one statute having different object, purpose and scheme cannot be applied mechanically to another statute. As stated above, the object of the Excise Act is to raise revenue for which various products are differently classified in the new Tariff Act."</w:t>
      </w:r>
    </w:p>
    <w:p w:rsidR="00A11054" w:rsidRDefault="00A11054" w:rsidP="00A11054">
      <w:pPr>
        <w:jc w:val="both"/>
      </w:pPr>
    </w:p>
    <w:p w:rsidR="00A11054" w:rsidRDefault="00A11054" w:rsidP="00A11054">
      <w:pPr>
        <w:jc w:val="both"/>
      </w:pPr>
      <w:r>
        <w:t>26. Therefore, the prohibition on the sale of Physician Samples intended for distribution to medical practitioners as free samples by Rule 65 (18) of the Drugs Rules shall have no bearing or effect upon the levy of excise duty under the Act, since excise is a duty on manufacture, duty is payable whether or not goods are sold. Excise duty is payable even in case of free supply, since sale is not a necessary condition for charging duty under the Act.</w:t>
      </w:r>
    </w:p>
    <w:p w:rsidR="00A11054" w:rsidRDefault="00A11054" w:rsidP="00A11054">
      <w:pPr>
        <w:jc w:val="both"/>
      </w:pPr>
    </w:p>
    <w:p w:rsidR="00A11054" w:rsidRDefault="00A11054" w:rsidP="00A11054">
      <w:pPr>
        <w:jc w:val="both"/>
      </w:pPr>
      <w:r>
        <w:t>27. Even assuming that Shri. Ganesh is correct, when he contends that physician samples are not allowed to be sold in the open market in view of the statutory prohibition on their sale, and hence are not marketable; the Revenue is only concerned with the manufacture of the goods and the possibility of marketability of the goods. When the product is manufactured by a Pharmaceutical Company, it is for the purpose of sale i.e., every such product including Physician Sample is capable of being sold in the open market, but the pharmaceutical company makes the choice to distribute the same as a free sample. In other words, it is not mandatory for the pharmaceutical company to distribute free physician samples of every drug they manufacture. This choice made by the pharmaceutical companies in terms of Rule 96 (1) (ix) of the Drugs Rules by overprinting words 'Physician's sample- Not to be sold' on the label of the drugs will not come in the way of the Revenue from levying excise duty on the drugs so manufactured.</w:t>
      </w:r>
    </w:p>
    <w:p w:rsidR="00A11054" w:rsidRDefault="00A11054" w:rsidP="00A11054">
      <w:pPr>
        <w:jc w:val="both"/>
      </w:pPr>
    </w:p>
    <w:p w:rsidR="00A11054" w:rsidRDefault="00A11054" w:rsidP="00A11054">
      <w:pPr>
        <w:jc w:val="both"/>
      </w:pPr>
      <w:r>
        <w:t xml:space="preserve">28. We agree with Shri Ganesh, learned senior counsel for the appellant, that the manufacture of patent and proprietary drugs is completed only after the labelling is completed, for the purpose of levy of excise duty. However, on a perusal of the labelling provisions in the Drug Rules, we find that they deal with the name of drug, contents of the drug, name and address of manufacturer, a distinctive batch number (details of manufacture of drug is recorded and available for inspection as a particular batch), preparation of drug, </w:t>
      </w:r>
      <w:r>
        <w:lastRenderedPageBreak/>
        <w:t>date of manufacture and date of expiry of drug, its storage conditions, etc., which are in aid of the object of the Act, viz. promoting the use of good quality drugs, and ensuring that drugs that do not live upto quality do not find their way into the market. Rule 96 (1) (ix) of the Drug Rules on which Shri Ganesh heavily relies in support of his submission, states that while complying with the labelling provisions under clauses (i) to (viii) of Rule 96 (1), the manufacturer must further overprint on the label 'Physician's Sample - Not to be Sold', in case they are to be distributed free of cost as physicians samples. Further, the bare perusal of Rule 96 shows that its heading bears 'Manner of Labelling' and clause 1 of this Rule contemplates or govern the manner of labelling in a way that the particulars on the label of the container of a drug shall be either printed or written in indelible ink and shall appear in conspicuous manner. This gives ample clarification that the process of labelling is distinct or different from the overprinting on the label of a physician's sample, and hence we are unable to agree with him that the manufacture for the purpose of the Central Excise Tariff Act is not completed until 'Physicians Sample - Not to be Sold' is printed on the label.</w:t>
      </w:r>
    </w:p>
    <w:p w:rsidR="00A11054" w:rsidRDefault="00A11054" w:rsidP="00A11054">
      <w:pPr>
        <w:jc w:val="both"/>
      </w:pPr>
    </w:p>
    <w:p w:rsidR="00A11054" w:rsidRDefault="00A11054" w:rsidP="00A11054">
      <w:pPr>
        <w:jc w:val="both"/>
      </w:pPr>
      <w:r>
        <w:t>29. The primary reason of distributing free physician samples by the manufacturer of pharmaceutical drugs to us appears to be only for the purpose of advertising of the product and thereby enhancing the sale of the product in the open market. It has been shown by research that the market of a pharmaceutical company is enhanced substantially by the distribution of free physician samples. In other words, the distribution of such physician samples serves as a marketing tool in the hands of the pharmaceutical companies [See Sarah L. Cutrona et al., Characteristics of Recipients of Free Prescription Drug Samples: A Nationally Representative Analysis, 98 Am. J. Pub. Health 284 (2008)].</w:t>
      </w:r>
    </w:p>
    <w:p w:rsidR="00A11054" w:rsidRDefault="00A11054" w:rsidP="00A11054">
      <w:pPr>
        <w:jc w:val="both"/>
      </w:pPr>
    </w:p>
    <w:p w:rsidR="00A11054" w:rsidRDefault="00A11054" w:rsidP="00A11054">
      <w:pPr>
        <w:jc w:val="both"/>
      </w:pPr>
      <w:r>
        <w:t xml:space="preserve">30.  Before we conclude, in our view, the issue raised in these appeals is no more res-integra. This issue came up for consideration before this Court in the case of </w:t>
      </w:r>
      <w:r w:rsidRPr="00A11054">
        <w:rPr>
          <w:i/>
        </w:rPr>
        <w:t>Ranbaxy Laboratories Ltd. Vs. Commissioner of Central Excise, Pune</w:t>
      </w:r>
      <w:r w:rsidRPr="00A11054">
        <w:rPr>
          <w:i/>
          <w:sz w:val="20"/>
          <w:szCs w:val="20"/>
          <w:vertAlign w:val="superscript"/>
        </w:rPr>
        <w:t>22</w:t>
      </w:r>
      <w:r w:rsidRPr="00A11054">
        <w:rPr>
          <w:i/>
        </w:rPr>
        <w:t xml:space="preserve">, </w:t>
      </w:r>
      <w:r>
        <w:t>wherein it was held:</w:t>
      </w:r>
    </w:p>
    <w:p w:rsidR="00A11054" w:rsidRDefault="00A11054" w:rsidP="00A11054">
      <w:pPr>
        <w:jc w:val="both"/>
      </w:pPr>
    </w:p>
    <w:p w:rsidR="00A11054" w:rsidRDefault="00A11054" w:rsidP="00A11054">
      <w:pPr>
        <w:ind w:left="720"/>
        <w:jc w:val="both"/>
      </w:pPr>
      <w:r>
        <w:t>"1. In these appeals, the question is whether free medical samples supplied to the doctors are liable to excise duty. In our view, this question is answered by a decision of this Court rendered today in Civil Appeal No. 3643-44 of 1999.</w:t>
      </w:r>
    </w:p>
    <w:p w:rsidR="00A11054" w:rsidRDefault="00A11054" w:rsidP="00A11054">
      <w:pPr>
        <w:jc w:val="both"/>
      </w:pPr>
    </w:p>
    <w:p w:rsidR="00A11054" w:rsidRDefault="00A11054" w:rsidP="00A11054">
      <w:pPr>
        <w:ind w:left="720"/>
        <w:jc w:val="both"/>
      </w:pPr>
      <w:r>
        <w:t>2. However, in these matters one further question arises i.e. how are the samples to be valued. The question arises as to whether the price of physician samples are to be worked out on pro-rata basis for the samples as per Section 4(1)(b) of the Central Excise Act read with Rules 7 and 6(b) of the Central Excise (Valuation) Rules, 1975 or on some other basis. The Tribunal has not decided this question even after holding that the goods were excisable. We, therefore, remit these matters back to the Tribunal for a decision on this point. The appeals stand disposed of accordingly. No order as to costs."</w:t>
      </w:r>
    </w:p>
    <w:p w:rsidR="00A11054" w:rsidRDefault="00A11054" w:rsidP="00A11054">
      <w:pPr>
        <w:jc w:val="both"/>
      </w:pPr>
    </w:p>
    <w:p w:rsidR="00A11054" w:rsidRDefault="00A11054" w:rsidP="00A11054">
      <w:pPr>
        <w:jc w:val="both"/>
      </w:pPr>
      <w:r>
        <w:t xml:space="preserve">31.  This Court, while passing the aforementioned order, has relied on the judgment and order passed in the case of </w:t>
      </w:r>
      <w:r w:rsidRPr="0055470F">
        <w:rPr>
          <w:i/>
        </w:rPr>
        <w:t>Bharat Heavy Electricals Ltd. v. Commissioner of Customs &amp;amp; Central Excise</w:t>
      </w:r>
      <w:r w:rsidR="0055470F" w:rsidRPr="0055470F">
        <w:rPr>
          <w:i/>
          <w:sz w:val="20"/>
          <w:szCs w:val="20"/>
          <w:vertAlign w:val="superscript"/>
        </w:rPr>
        <w:t>23</w:t>
      </w:r>
      <w:r w:rsidRPr="0055470F">
        <w:rPr>
          <w:i/>
        </w:rPr>
        <w:t xml:space="preserve">, </w:t>
      </w:r>
      <w:r>
        <w:t>[referred to as Civil Appeal No. 3643-44 of 1999], in which this Court held:</w:t>
      </w:r>
    </w:p>
    <w:p w:rsidR="00A11054" w:rsidRDefault="00A11054" w:rsidP="0055470F">
      <w:pPr>
        <w:ind w:left="720"/>
        <w:jc w:val="both"/>
      </w:pPr>
      <w:r>
        <w:lastRenderedPageBreak/>
        <w:t>"4. It is next submitted that the value of an assessable goods can be zero. It is submitted that when a part is replaced under a warranty to the assessee the value is zero. It is submitted that as the value is zero, no excise duty should be payable on that part. We are unable to accept this submission also. In order to promote sales manufacturers and dealers very often offer incentives e.g. supply of free TV or some other equipment or goods. One of the incentives offered, is a warranty to replace a part within a particular period. Merely because manufacturers and dealers choose to offer such incentives does not mean that goods which are otherwise excisable, should be exempted from paying excise duty. When offering the incentive, the manufacturer or dealer is choosing to take upon himself the cost of those goods. So far as the Revenue is concerned, those goods remain excisable."</w:t>
      </w:r>
    </w:p>
    <w:p w:rsidR="0055470F" w:rsidRDefault="0055470F" w:rsidP="00A11054">
      <w:pPr>
        <w:jc w:val="both"/>
      </w:pPr>
    </w:p>
    <w:p w:rsidR="00A11054" w:rsidRDefault="0055470F" w:rsidP="00A11054">
      <w:pPr>
        <w:jc w:val="both"/>
      </w:pPr>
      <w:r>
        <w:t>32.</w:t>
      </w:r>
      <w:r w:rsidR="00A11054">
        <w:t xml:space="preserve"> This Court has consistently held that the medical supplies supplied to the Doctors are liable to excise duty. Elaborate consideration may not be forthcoming in these judgments, but, in our view, the issue stands concluded. We say so for the reason that this Court, in catena of cases, has opined that in case, the appeal has been dismissed in the absence of detailed reasons or without reasons, such order will entail the application of the doctrine of merger, wherein the superior court upholds the decision of the lower court from which the appeal has arisen. In the case of </w:t>
      </w:r>
      <w:r w:rsidR="00A11054" w:rsidRPr="0055470F">
        <w:rPr>
          <w:i/>
        </w:rPr>
        <w:t>V.M. Salgao</w:t>
      </w:r>
      <w:r>
        <w:rPr>
          <w:i/>
        </w:rPr>
        <w:t>car &amp; Bros.(P) Ltd. Vs. C.I.T</w:t>
      </w:r>
      <w:r w:rsidRPr="0055470F">
        <w:rPr>
          <w:i/>
          <w:sz w:val="20"/>
          <w:szCs w:val="20"/>
          <w:vertAlign w:val="superscript"/>
        </w:rPr>
        <w:t>24</w:t>
      </w:r>
      <w:r>
        <w:rPr>
          <w:i/>
        </w:rPr>
        <w:t>.</w:t>
      </w:r>
      <w:r w:rsidR="00A11054" w:rsidRPr="0055470F">
        <w:rPr>
          <w:i/>
        </w:rPr>
        <w:t>,</w:t>
      </w:r>
      <w:r w:rsidR="00A11054">
        <w:t xml:space="preserve"> this Court held:</w:t>
      </w:r>
    </w:p>
    <w:p w:rsidR="0055470F" w:rsidRDefault="0055470F" w:rsidP="00A11054">
      <w:pPr>
        <w:jc w:val="both"/>
      </w:pPr>
    </w:p>
    <w:p w:rsidR="00A11054" w:rsidRDefault="00A11054" w:rsidP="0055470F">
      <w:pPr>
        <w:ind w:left="720"/>
        <w:jc w:val="both"/>
      </w:pPr>
      <w:r>
        <w:t>"8. Different considerations apply when a special leave petition under Article 136 of the Constitution is simply dismissed by saying "dismissed" and an appeal provided under Article 133 is dismissed also with the words "the appeal is dismissed". In the former case it has been laid by this Court that when a special leave petition is dismissed this Court does not comment on the correctness or otherwise of the order from which leave to appeal is sought. But what the Court means is that it does not consider it to be a fit case for exercise of its jurisdiction under Article 136 of the Constitution. That certainly could not be so when an appeal is dismissed though by a non</w:t>
      </w:r>
      <w:r>
        <w:rPr>
          <w:rFonts w:hint="eastAsia"/>
        </w:rPr>
        <w:t>¬</w:t>
      </w:r>
      <w:r>
        <w:t>speaking order. Here the doctrine of merger applies. In that case, the Supreme Court upholds the decision of the High Court or of the Tribunal from which the appeal is provided under clause (3) of Article 133. This doctrine of merger does not apply in the case of dismissal of a special leave petition under Article 136."</w:t>
      </w:r>
    </w:p>
    <w:p w:rsidR="0055470F" w:rsidRDefault="0055470F" w:rsidP="00A11054">
      <w:pPr>
        <w:jc w:val="both"/>
      </w:pPr>
    </w:p>
    <w:p w:rsidR="00A11054" w:rsidRDefault="0055470F" w:rsidP="00A11054">
      <w:pPr>
        <w:jc w:val="both"/>
      </w:pPr>
      <w:r>
        <w:t xml:space="preserve">33. </w:t>
      </w:r>
      <w:r w:rsidR="00A11054">
        <w:t xml:space="preserve"> In the case of</w:t>
      </w:r>
      <w:r w:rsidR="00A11054" w:rsidRPr="0055470F">
        <w:rPr>
          <w:i/>
        </w:rPr>
        <w:t xml:space="preserve"> Kunhayammed v. State of Kerala</w:t>
      </w:r>
      <w:r w:rsidRPr="0055470F">
        <w:rPr>
          <w:i/>
          <w:sz w:val="20"/>
          <w:szCs w:val="20"/>
          <w:vertAlign w:val="superscript"/>
        </w:rPr>
        <w:t>25</w:t>
      </w:r>
      <w:r w:rsidR="00A11054" w:rsidRPr="0055470F">
        <w:rPr>
          <w:i/>
        </w:rPr>
        <w:t xml:space="preserve">, </w:t>
      </w:r>
      <w:r w:rsidR="00A11054">
        <w:t>it was held:</w:t>
      </w:r>
    </w:p>
    <w:p w:rsidR="0055470F" w:rsidRDefault="0055470F" w:rsidP="00A11054">
      <w:pPr>
        <w:jc w:val="both"/>
      </w:pPr>
    </w:p>
    <w:p w:rsidR="00A11054" w:rsidRDefault="00A11054" w:rsidP="0055470F">
      <w:pPr>
        <w:ind w:left="720"/>
        <w:jc w:val="both"/>
      </w:pPr>
      <w:r>
        <w:t xml:space="preserve">"41. Once a special leave petition has been granted, the doors for the exercise of appellate jurisdiction of this Court have been let open. The order impugned before the Supreme Court becomes an order appealed against. Any order passed thereafter would be an appellate order and would attract the applicability of doctrine of merger. It would not make a difference whether the order is one of reversal or of modification or of dismissal affirming the order appealed against. It would also not make any difference if the order is a speaking or non-speaking one. Whenever this Court has felt inclined to apply its mind to the merits of the order put in issue before it though it may be inclined to affirm the same, it is customary with this Court to grant leave to appeal and thereafter dismiss the appeal itself (and not merely the petition for special </w:t>
      </w:r>
      <w:r>
        <w:lastRenderedPageBreak/>
        <w:t>leave) though at times the orders granting leave to appeal and dismissing the appeal are contained in the same order and at times the orders are quite brief. Nevertheless, the order shows the exercise of appellate jurisdiction and therein the merits of the order impugned having been subjected to judicial scrutiny of this Court.</w:t>
      </w:r>
    </w:p>
    <w:p w:rsidR="0055470F" w:rsidRDefault="0055470F" w:rsidP="00A11054">
      <w:pPr>
        <w:jc w:val="both"/>
      </w:pPr>
    </w:p>
    <w:p w:rsidR="00A11054" w:rsidRDefault="00A11054" w:rsidP="0055470F">
      <w:pPr>
        <w:ind w:left="720"/>
        <w:jc w:val="both"/>
      </w:pPr>
      <w:r>
        <w:t>42. "To merge" means to sink or disappear in something else; to become absorbed or extinguished; to be combined or be swallowed up. Merger in law is defined as the absorption of a thing of lesser importance by a greater, whereby the lesser ceases to exist, but the greater is not increased; an absorption or swallowing up so as to involve a loss of identity and individuality. (See Corpus Juris Secundum, Vol. LVII, pp. 1067-68.)"</w:t>
      </w:r>
    </w:p>
    <w:p w:rsidR="0055470F" w:rsidRDefault="0055470F" w:rsidP="00A11054">
      <w:pPr>
        <w:jc w:val="both"/>
      </w:pPr>
    </w:p>
    <w:p w:rsidR="0055470F" w:rsidRDefault="00A11054" w:rsidP="00A11054">
      <w:pPr>
        <w:jc w:val="both"/>
      </w:pPr>
      <w:r>
        <w:t>34.</w:t>
      </w:r>
      <w:r w:rsidR="0055470F">
        <w:t xml:space="preserve"> </w:t>
      </w:r>
      <w:r>
        <w:t xml:space="preserve"> It is settled law that this Court should follow an earlier decision that has withstood the changes in time, irrespective of the rationale of the view taken. It was held by a Constitution Bench in the case of </w:t>
      </w:r>
      <w:r w:rsidRPr="0055470F">
        <w:rPr>
          <w:i/>
        </w:rPr>
        <w:t>Waman Rao v. Union of India</w:t>
      </w:r>
      <w:r w:rsidR="0055470F" w:rsidRPr="0055470F">
        <w:rPr>
          <w:i/>
          <w:sz w:val="20"/>
          <w:szCs w:val="20"/>
          <w:vertAlign w:val="superscript"/>
        </w:rPr>
        <w:t>26</w:t>
      </w:r>
      <w:r>
        <w:t xml:space="preserve">: </w:t>
      </w:r>
    </w:p>
    <w:p w:rsidR="0055470F" w:rsidRDefault="0055470F" w:rsidP="00A11054">
      <w:pPr>
        <w:jc w:val="both"/>
      </w:pPr>
    </w:p>
    <w:p w:rsidR="00A11054" w:rsidRDefault="00A11054" w:rsidP="0055470F">
      <w:pPr>
        <w:ind w:left="720"/>
        <w:jc w:val="both"/>
      </w:pPr>
      <w:r>
        <w:t>"40. It is also true to say that for the application of the rule of stare decisis, it is not necessary that the earlier decision or decisions of longstanding should have considered and either accepted or rejected the particular argument which is advanced in the case on hand. Were it so, the previous decisions could more easily be treated as binding by applying the law of precedent and it will be unnecessary to take resort to the principle of stare decisis. It is, therefore, sufficient for invoking the rule of stare decisis that a certain decision was arrived at on a question which arose or was argued, no matter on what reason the decision rests or what is the basis of the decision. In other words, for the purpose of applying the rule of stare decisis, it is unnecessary to enquire or determine as to what was the rationale of the earlier decision which is said to operate as stare decisis. ... "</w:t>
      </w:r>
    </w:p>
    <w:p w:rsidR="0055470F" w:rsidRDefault="0055470F" w:rsidP="00A11054">
      <w:pPr>
        <w:jc w:val="both"/>
      </w:pPr>
    </w:p>
    <w:p w:rsidR="00A11054" w:rsidRDefault="0055470F" w:rsidP="00A11054">
      <w:pPr>
        <w:jc w:val="both"/>
      </w:pPr>
      <w:r>
        <w:t xml:space="preserve">35. </w:t>
      </w:r>
      <w:r w:rsidR="00A11054">
        <w:t xml:space="preserve"> Now we may notice the decisions on which reliance placed by learned senior counsel Shri Ganesh. In </w:t>
      </w:r>
      <w:r w:rsidR="00A11054" w:rsidRPr="0055470F">
        <w:rPr>
          <w:i/>
        </w:rPr>
        <w:t>Delhi Cloth and General Mills Vs. Joint Secretary</w:t>
      </w:r>
      <w:r w:rsidRPr="0055470F">
        <w:rPr>
          <w:i/>
          <w:sz w:val="20"/>
          <w:szCs w:val="20"/>
          <w:vertAlign w:val="superscript"/>
        </w:rPr>
        <w:t>28</w:t>
      </w:r>
      <w:r w:rsidR="00A11054" w:rsidRPr="0055470F">
        <w:rPr>
          <w:i/>
        </w:rPr>
        <w:t xml:space="preserve">, </w:t>
      </w:r>
      <w:r w:rsidR="00A11054">
        <w:t>(Delhi High Court), the question before the court was whether calcium carbide, which does not comply with regard to purity and packaging with statutory rules answers the test of 'Marketability'. The Court on facts has found that the calcium carbide manufactured by the company was for further utilization in the production of acetylene gas was not of purity that rendered it marketable nor was it packed in such a way as to make it marketable that is to say, in air tight containers. The Court has further noticed that the commodity in question would require further processing to make it marketable and therefore, the commodity in question is not marketable and hence, not excisable.</w:t>
      </w:r>
    </w:p>
    <w:p w:rsidR="0055470F" w:rsidRDefault="0055470F" w:rsidP="00A11054">
      <w:pPr>
        <w:jc w:val="both"/>
      </w:pPr>
    </w:p>
    <w:p w:rsidR="00A11054" w:rsidRDefault="0055470F" w:rsidP="00A11054">
      <w:pPr>
        <w:jc w:val="both"/>
      </w:pPr>
      <w:r>
        <w:t xml:space="preserve">36. </w:t>
      </w:r>
      <w:r w:rsidR="00A11054">
        <w:t xml:space="preserve"> Reliance is placed on the decision of CESTAT in </w:t>
      </w:r>
      <w:r w:rsidR="00A11054" w:rsidRPr="0055470F">
        <w:rPr>
          <w:i/>
        </w:rPr>
        <w:t>Amar Lal Vs. CCE,</w:t>
      </w:r>
      <w:r w:rsidRPr="0055470F">
        <w:rPr>
          <w:i/>
          <w:sz w:val="21"/>
          <w:szCs w:val="21"/>
          <w:vertAlign w:val="superscript"/>
        </w:rPr>
        <w:t>29</w:t>
      </w:r>
      <w:r w:rsidR="00A11054">
        <w:t>. That was a case where assessee manufactured a new drug for trial which were supplied for clinical trials. In view of the Drugs Control Act and the Rules framed thereunder, any drug could be marketed only after successful clinical trials and after approval and licence from Drugs Controller. Hence, the Tribunal held that the drug supplied free for clinical trials is not excisable Goods as it cannot be bought and sold at that stage.</w:t>
      </w:r>
    </w:p>
    <w:p w:rsidR="0055470F" w:rsidRDefault="0055470F" w:rsidP="00A11054">
      <w:pPr>
        <w:jc w:val="both"/>
      </w:pPr>
    </w:p>
    <w:p w:rsidR="00A11054" w:rsidRDefault="0055470F" w:rsidP="00A11054">
      <w:pPr>
        <w:jc w:val="both"/>
      </w:pPr>
      <w:r>
        <w:t xml:space="preserve">37. </w:t>
      </w:r>
      <w:r w:rsidR="00A11054">
        <w:t xml:space="preserve"> In </w:t>
      </w:r>
      <w:r w:rsidR="00A11054" w:rsidRPr="0055470F">
        <w:rPr>
          <w:i/>
        </w:rPr>
        <w:t>Pfizer vs. Commissioner of Central Excise</w:t>
      </w:r>
      <w:r w:rsidRPr="0055470F">
        <w:rPr>
          <w:i/>
          <w:sz w:val="20"/>
          <w:szCs w:val="20"/>
          <w:vertAlign w:val="superscript"/>
        </w:rPr>
        <w:t>30</w:t>
      </w:r>
      <w:r w:rsidR="00A11054">
        <w:t>, the question before the Tribunal was, whether excise duty is leviable on 'Sugar syrup' manufactured by the assessee for use in the manufacture by it for cough syrup. The Tribunal, while answering the issue, has stated that since the sale of Sugar Syrup containing artificial sweetener sodium saccharin would contravene the provisions of Prevention of Food Adulteration Rules, the Goods cannot be considered as marketable.</w:t>
      </w:r>
    </w:p>
    <w:p w:rsidR="0055470F" w:rsidRDefault="0055470F" w:rsidP="00A11054">
      <w:pPr>
        <w:jc w:val="both"/>
      </w:pPr>
    </w:p>
    <w:p w:rsidR="00A11054" w:rsidRDefault="0055470F" w:rsidP="00A11054">
      <w:pPr>
        <w:jc w:val="both"/>
      </w:pPr>
      <w:r>
        <w:t xml:space="preserve">38. </w:t>
      </w:r>
      <w:r w:rsidR="00A11054">
        <w:t xml:space="preserve"> In </w:t>
      </w:r>
      <w:r w:rsidR="00A11054" w:rsidRPr="0055470F">
        <w:rPr>
          <w:i/>
        </w:rPr>
        <w:t>Hindustan Petroleum Corporation Ltd. vs. CCE</w:t>
      </w:r>
      <w:r w:rsidRPr="0055470F">
        <w:rPr>
          <w:i/>
          <w:sz w:val="20"/>
          <w:szCs w:val="20"/>
          <w:vertAlign w:val="superscript"/>
        </w:rPr>
        <w:t>31</w:t>
      </w:r>
      <w:r w:rsidR="00A11054" w:rsidRPr="0055470F">
        <w:rPr>
          <w:i/>
        </w:rPr>
        <w:t xml:space="preserve">, </w:t>
      </w:r>
      <w:r w:rsidR="00A11054">
        <w:t>it was a case where assessee manufactured 'diesel stem' by refining the sour crude for captive consumption and sale in the market. The sale of 'diesel stem' containing high sulphur content was prohibited by Ministry of Petroleum and Natural Gas in the light of the notification issued by Ministry of Environment and Forest for preventing environmental pollution caused by emission due to burning of sulphur along with fuel. In the light of the notification issued by Ministry of Environment &amp; Forest, the 'diesel stem' in its high content of sulphur is incapacitated from being sold in the market. In other words, this inherent incapability in the ingredients of the Goods, from being sold in the market makes it non-marketable and hence not excisable.</w:t>
      </w:r>
    </w:p>
    <w:p w:rsidR="0055470F" w:rsidRDefault="0055470F" w:rsidP="00A11054">
      <w:pPr>
        <w:jc w:val="both"/>
      </w:pPr>
    </w:p>
    <w:p w:rsidR="00A11054" w:rsidRDefault="0055470F" w:rsidP="00A11054">
      <w:pPr>
        <w:jc w:val="both"/>
      </w:pPr>
      <w:r>
        <w:t xml:space="preserve">39. </w:t>
      </w:r>
      <w:r w:rsidR="00A11054">
        <w:t xml:space="preserve"> In </w:t>
      </w:r>
      <w:r w:rsidR="00A11054" w:rsidRPr="0055470F">
        <w:rPr>
          <w:i/>
        </w:rPr>
        <w:t>Hi</w:t>
      </w:r>
      <w:r>
        <w:rPr>
          <w:i/>
        </w:rPr>
        <w:t>malaya Drug Company vs. C.C.E.</w:t>
      </w:r>
      <w:r w:rsidRPr="0055470F">
        <w:rPr>
          <w:i/>
          <w:sz w:val="20"/>
          <w:szCs w:val="20"/>
          <w:vertAlign w:val="superscript"/>
        </w:rPr>
        <w:t>3</w:t>
      </w:r>
      <w:r>
        <w:rPr>
          <w:i/>
          <w:sz w:val="20"/>
          <w:szCs w:val="20"/>
          <w:vertAlign w:val="superscript"/>
        </w:rPr>
        <w:t>2</w:t>
      </w:r>
      <w:r w:rsidR="00A11054" w:rsidRPr="0055470F">
        <w:rPr>
          <w:i/>
        </w:rPr>
        <w:t>,</w:t>
      </w:r>
      <w:r w:rsidR="00A11054">
        <w:t xml:space="preserve"> the question before the Tribunal was, whether the excise duty is leviable on 'vegetable extracts' manufactured by the assessee for use in the manufacture of Ayurvedic, Unani or Siddha Medicines. The Tribunal, while answering the issue, concluded that such vegetable extracts, unless subjected to preservative process, are not liable to be considered as Goods attracting excise duty and such Goods should be considered as only intermediary Goods. Further, in view of the fact that the licence issued by the Drug Controller prohibits assessee from selling such semi finished products. Therefore, the Tribunal concluded that such intermediary or semi finished Goods manufactured by assessee cannot be compared with the products manufactured by others for sale, for the purpose of 'marketability'.</w:t>
      </w:r>
    </w:p>
    <w:p w:rsidR="0055470F" w:rsidRDefault="0055470F" w:rsidP="00A11054">
      <w:pPr>
        <w:jc w:val="both"/>
      </w:pPr>
    </w:p>
    <w:p w:rsidR="00A11054" w:rsidRDefault="0055470F" w:rsidP="00A11054">
      <w:pPr>
        <w:jc w:val="both"/>
      </w:pPr>
      <w:r>
        <w:t xml:space="preserve">40. </w:t>
      </w:r>
      <w:r w:rsidR="00A11054">
        <w:t xml:space="preserve"> In our considered view, the reliance placed by the learned senior counsel for the appellant on some of the decisions of the Tribunal would not assist him in support of his submission for the reason that the goods therein were not marketable and hence, excise duty was not leviable, not because of any statutory prohibition for the sale of the goods, but because they had not reached the stage of satisfying the test of marketability of the goods.</w:t>
      </w:r>
    </w:p>
    <w:p w:rsidR="0055470F" w:rsidRDefault="0055470F" w:rsidP="00A11054">
      <w:pPr>
        <w:jc w:val="both"/>
      </w:pPr>
    </w:p>
    <w:p w:rsidR="00A11054" w:rsidRDefault="0055470F" w:rsidP="00A11054">
      <w:pPr>
        <w:jc w:val="both"/>
      </w:pPr>
      <w:r>
        <w:t xml:space="preserve">41. </w:t>
      </w:r>
      <w:r w:rsidR="00A11054">
        <w:t xml:space="preserve"> Now coming to the valuation of the physician samples for the purpose of levy of excise duty, in our view, this issue need not detain us long in view of the decision of this Court in the case of </w:t>
      </w:r>
      <w:r w:rsidR="00A11054" w:rsidRPr="0055470F">
        <w:rPr>
          <w:i/>
        </w:rPr>
        <w:t>Commissioner of Central Excise vs. M/s. Bal Pharma</w:t>
      </w:r>
      <w:r w:rsidRPr="0055470F">
        <w:rPr>
          <w:i/>
          <w:sz w:val="20"/>
          <w:szCs w:val="20"/>
          <w:vertAlign w:val="superscript"/>
        </w:rPr>
        <w:t>33</w:t>
      </w:r>
      <w:r w:rsidR="00A11054">
        <w:t xml:space="preserve">. This Court has upheld the conclusion of the Tribunal that the physician's samples have to be valued on pro-rata basis. The Tribunal, while arriving at the aforesaid conclusion, had relied upon its earlier decision in the case of </w:t>
      </w:r>
      <w:r w:rsidR="00A11054" w:rsidRPr="0055470F">
        <w:rPr>
          <w:i/>
        </w:rPr>
        <w:t>Commissioner of Central Excise, Calicut vs. Trinity Pharmaceuticals Pvt. Ltd., reported as</w:t>
      </w:r>
      <w:r w:rsidRPr="0055470F">
        <w:rPr>
          <w:i/>
          <w:sz w:val="20"/>
          <w:szCs w:val="20"/>
          <w:vertAlign w:val="superscript"/>
        </w:rPr>
        <w:t>34</w:t>
      </w:r>
      <w:r w:rsidR="00A11054">
        <w:t>, which has been accepted by the department. Therefore, we hold that physician samples have to be valued on pro-rata basis for the relevant period.</w:t>
      </w:r>
      <w:r w:rsidR="00A11054">
        <w:cr/>
      </w:r>
    </w:p>
    <w:p w:rsidR="00A11054" w:rsidRDefault="0055470F" w:rsidP="00A11054">
      <w:pPr>
        <w:jc w:val="both"/>
      </w:pPr>
      <w:r>
        <w:t xml:space="preserve">42. </w:t>
      </w:r>
      <w:r w:rsidR="00A11054">
        <w:t>In view of the above discussion, we pass the following order:-</w:t>
      </w:r>
    </w:p>
    <w:p w:rsidR="0055470F" w:rsidRDefault="0055470F" w:rsidP="00A11054">
      <w:pPr>
        <w:jc w:val="both"/>
      </w:pPr>
    </w:p>
    <w:p w:rsidR="00A11054" w:rsidRDefault="0055470F" w:rsidP="0055470F">
      <w:pPr>
        <w:ind w:left="720"/>
        <w:jc w:val="both"/>
      </w:pPr>
      <w:r>
        <w:rPr>
          <w:rFonts w:hint="eastAsia"/>
        </w:rPr>
        <w:t>“</w:t>
      </w:r>
      <w:r>
        <w:t xml:space="preserve">a) </w:t>
      </w:r>
      <w:r w:rsidR="00A11054">
        <w:t xml:space="preserve"> Civil Appeal No. 3626 of 2005 is allowed and the matter is remitted to the Adjudicating Authority with a direction to value the goods in question on pro-rata basis for the relevant period.</w:t>
      </w:r>
    </w:p>
    <w:p w:rsidR="0055470F" w:rsidRDefault="0055470F" w:rsidP="0055470F">
      <w:pPr>
        <w:ind w:left="720"/>
        <w:jc w:val="both"/>
      </w:pPr>
    </w:p>
    <w:p w:rsidR="00506760" w:rsidRDefault="0055470F" w:rsidP="0055470F">
      <w:pPr>
        <w:ind w:left="720"/>
        <w:jc w:val="both"/>
      </w:pPr>
      <w:r>
        <w:t xml:space="preserve">b) </w:t>
      </w:r>
      <w:r w:rsidR="00A11054">
        <w:t xml:space="preserve"> We dismiss Civil Appeal Nos. 1354-1355 of 2010. Parties to bear their own costs.</w:t>
      </w:r>
      <w:r>
        <w:rPr>
          <w:rFonts w:hint="eastAsia"/>
        </w:rPr>
        <w:t>”</w:t>
      </w:r>
    </w:p>
    <w:p w:rsidR="0055470F" w:rsidRDefault="0055470F" w:rsidP="0055470F">
      <w:pPr>
        <w:jc w:val="both"/>
      </w:pPr>
    </w:p>
    <w:p w:rsidR="0055470F" w:rsidRDefault="0055470F" w:rsidP="0055470F">
      <w:pPr>
        <w:jc w:val="both"/>
      </w:pPr>
      <w:r>
        <w:t>Judgment Referred.</w:t>
      </w:r>
    </w:p>
    <w:p w:rsidR="0055470F" w:rsidRDefault="0055470F" w:rsidP="0055470F">
      <w:pPr>
        <w:jc w:val="both"/>
      </w:pPr>
    </w:p>
    <w:p w:rsidR="0055470F" w:rsidRPr="0055470F" w:rsidRDefault="0055470F" w:rsidP="0055470F">
      <w:pPr>
        <w:jc w:val="both"/>
        <w:rPr>
          <w:i/>
          <w:sz w:val="20"/>
          <w:szCs w:val="20"/>
        </w:rPr>
      </w:pPr>
      <w:r w:rsidRPr="0055470F">
        <w:rPr>
          <w:i/>
          <w:sz w:val="20"/>
          <w:szCs w:val="20"/>
          <w:vertAlign w:val="superscript"/>
        </w:rPr>
        <w:t>1</w:t>
      </w:r>
      <w:r w:rsidRPr="0055470F">
        <w:rPr>
          <w:i/>
          <w:sz w:val="20"/>
          <w:szCs w:val="20"/>
        </w:rPr>
        <w:t xml:space="preserve">AIR 1967 SC 1512 </w:t>
      </w:r>
    </w:p>
    <w:p w:rsidR="0055470F" w:rsidRPr="0055470F" w:rsidRDefault="0055470F" w:rsidP="0055470F">
      <w:pPr>
        <w:jc w:val="both"/>
        <w:rPr>
          <w:i/>
          <w:sz w:val="20"/>
          <w:szCs w:val="20"/>
        </w:rPr>
      </w:pPr>
      <w:r w:rsidRPr="0055470F">
        <w:rPr>
          <w:i/>
          <w:sz w:val="20"/>
          <w:szCs w:val="20"/>
          <w:vertAlign w:val="superscript"/>
        </w:rPr>
        <w:t>2</w:t>
      </w:r>
      <w:r w:rsidRPr="0055470F">
        <w:rPr>
          <w:i/>
          <w:sz w:val="20"/>
          <w:szCs w:val="20"/>
        </w:rPr>
        <w:t>(1950) SCR 0015</w:t>
      </w:r>
    </w:p>
    <w:p w:rsidR="0055470F" w:rsidRPr="0055470F" w:rsidRDefault="0055470F" w:rsidP="0055470F">
      <w:pPr>
        <w:jc w:val="both"/>
        <w:rPr>
          <w:i/>
          <w:sz w:val="20"/>
          <w:szCs w:val="20"/>
        </w:rPr>
      </w:pPr>
      <w:r w:rsidRPr="0055470F">
        <w:rPr>
          <w:i/>
          <w:sz w:val="20"/>
          <w:szCs w:val="20"/>
          <w:vertAlign w:val="superscript"/>
        </w:rPr>
        <w:t>3</w:t>
      </w:r>
      <w:r w:rsidRPr="0055470F">
        <w:rPr>
          <w:i/>
          <w:sz w:val="20"/>
          <w:szCs w:val="20"/>
        </w:rPr>
        <w:t>(2004) AIR SCW 5496</w:t>
      </w:r>
    </w:p>
    <w:p w:rsidR="0055470F" w:rsidRPr="0055470F" w:rsidRDefault="0055470F" w:rsidP="0055470F">
      <w:pPr>
        <w:jc w:val="both"/>
        <w:rPr>
          <w:i/>
          <w:sz w:val="20"/>
          <w:szCs w:val="20"/>
        </w:rPr>
      </w:pPr>
      <w:r w:rsidRPr="0055470F">
        <w:rPr>
          <w:i/>
          <w:sz w:val="20"/>
          <w:szCs w:val="20"/>
          <w:vertAlign w:val="superscript"/>
        </w:rPr>
        <w:t>4</w:t>
      </w:r>
      <w:r w:rsidRPr="0055470F">
        <w:rPr>
          <w:i/>
          <w:sz w:val="20"/>
          <w:szCs w:val="20"/>
        </w:rPr>
        <w:t>(1942) FCR 0090</w:t>
      </w:r>
    </w:p>
    <w:p w:rsidR="0055470F" w:rsidRPr="0055470F" w:rsidRDefault="0055470F" w:rsidP="0055470F">
      <w:pPr>
        <w:jc w:val="both"/>
        <w:rPr>
          <w:i/>
          <w:sz w:val="20"/>
          <w:szCs w:val="20"/>
        </w:rPr>
      </w:pPr>
      <w:r w:rsidRPr="0055470F">
        <w:rPr>
          <w:i/>
          <w:sz w:val="20"/>
          <w:szCs w:val="20"/>
          <w:vertAlign w:val="superscript"/>
        </w:rPr>
        <w:t>5</w:t>
      </w:r>
      <w:r w:rsidRPr="0055470F">
        <w:rPr>
          <w:i/>
          <w:sz w:val="20"/>
          <w:szCs w:val="20"/>
        </w:rPr>
        <w:t>(1994) 74 ELT 0022(SC)</w:t>
      </w:r>
    </w:p>
    <w:p w:rsidR="0055470F" w:rsidRPr="0055470F" w:rsidRDefault="0055470F" w:rsidP="0055470F">
      <w:pPr>
        <w:jc w:val="both"/>
        <w:rPr>
          <w:i/>
          <w:sz w:val="20"/>
          <w:szCs w:val="20"/>
        </w:rPr>
      </w:pPr>
      <w:r w:rsidRPr="0055470F">
        <w:rPr>
          <w:i/>
          <w:sz w:val="20"/>
          <w:szCs w:val="20"/>
          <w:vertAlign w:val="superscript"/>
        </w:rPr>
        <w:t>6</w:t>
      </w:r>
      <w:r w:rsidRPr="0055470F">
        <w:rPr>
          <w:i/>
          <w:sz w:val="20"/>
          <w:szCs w:val="20"/>
        </w:rPr>
        <w:t>AIR 1968 SC 0922</w:t>
      </w:r>
    </w:p>
    <w:p w:rsidR="0055470F" w:rsidRPr="0055470F" w:rsidRDefault="0055470F" w:rsidP="0055470F">
      <w:pPr>
        <w:jc w:val="both"/>
        <w:rPr>
          <w:i/>
          <w:sz w:val="20"/>
          <w:szCs w:val="20"/>
        </w:rPr>
      </w:pPr>
      <w:r w:rsidRPr="0055470F">
        <w:rPr>
          <w:i/>
          <w:sz w:val="20"/>
          <w:szCs w:val="20"/>
          <w:vertAlign w:val="superscript"/>
        </w:rPr>
        <w:t>7</w:t>
      </w:r>
      <w:r w:rsidRPr="0055470F">
        <w:rPr>
          <w:i/>
          <w:sz w:val="20"/>
          <w:szCs w:val="20"/>
        </w:rPr>
        <w:t xml:space="preserve">(1986) 2 SCC 0547 </w:t>
      </w:r>
    </w:p>
    <w:p w:rsidR="0055470F" w:rsidRPr="0055470F" w:rsidRDefault="0055470F" w:rsidP="0055470F">
      <w:pPr>
        <w:jc w:val="both"/>
        <w:rPr>
          <w:i/>
          <w:sz w:val="20"/>
          <w:szCs w:val="20"/>
        </w:rPr>
      </w:pPr>
      <w:r w:rsidRPr="0055470F">
        <w:rPr>
          <w:i/>
          <w:sz w:val="20"/>
          <w:szCs w:val="20"/>
          <w:vertAlign w:val="superscript"/>
        </w:rPr>
        <w:t>8</w:t>
      </w:r>
      <w:r w:rsidRPr="0055470F">
        <w:rPr>
          <w:i/>
          <w:sz w:val="20"/>
          <w:szCs w:val="20"/>
        </w:rPr>
        <w:t>(1989) 1 SCC 0602</w:t>
      </w:r>
    </w:p>
    <w:p w:rsidR="0055470F" w:rsidRPr="0055470F" w:rsidRDefault="0055470F" w:rsidP="0055470F">
      <w:pPr>
        <w:jc w:val="both"/>
        <w:rPr>
          <w:i/>
          <w:sz w:val="20"/>
          <w:szCs w:val="20"/>
        </w:rPr>
      </w:pPr>
      <w:r w:rsidRPr="0055470F">
        <w:rPr>
          <w:i/>
          <w:sz w:val="20"/>
          <w:szCs w:val="20"/>
          <w:vertAlign w:val="superscript"/>
        </w:rPr>
        <w:t>9</w:t>
      </w:r>
      <w:r w:rsidRPr="0055470F">
        <w:rPr>
          <w:i/>
          <w:sz w:val="20"/>
          <w:szCs w:val="20"/>
        </w:rPr>
        <w:t>(1989) 4 SCC 0323</w:t>
      </w:r>
    </w:p>
    <w:p w:rsidR="0055470F" w:rsidRPr="0055470F" w:rsidRDefault="0055470F" w:rsidP="0055470F">
      <w:pPr>
        <w:jc w:val="both"/>
        <w:rPr>
          <w:i/>
          <w:sz w:val="20"/>
          <w:szCs w:val="20"/>
        </w:rPr>
      </w:pPr>
      <w:r w:rsidRPr="0055470F">
        <w:rPr>
          <w:i/>
          <w:sz w:val="20"/>
          <w:szCs w:val="20"/>
          <w:vertAlign w:val="superscript"/>
        </w:rPr>
        <w:t>10</w:t>
      </w:r>
      <w:r w:rsidRPr="0055470F">
        <w:rPr>
          <w:i/>
          <w:sz w:val="20"/>
          <w:szCs w:val="20"/>
        </w:rPr>
        <w:t>(1994) 2 SCC 0428</w:t>
      </w:r>
    </w:p>
    <w:p w:rsidR="0055470F" w:rsidRPr="0055470F" w:rsidRDefault="0055470F" w:rsidP="0055470F">
      <w:pPr>
        <w:jc w:val="both"/>
        <w:rPr>
          <w:i/>
          <w:sz w:val="20"/>
          <w:szCs w:val="20"/>
        </w:rPr>
      </w:pPr>
      <w:r w:rsidRPr="0055470F">
        <w:rPr>
          <w:i/>
          <w:sz w:val="20"/>
          <w:szCs w:val="20"/>
          <w:vertAlign w:val="superscript"/>
        </w:rPr>
        <w:t>11</w:t>
      </w:r>
      <w:r w:rsidRPr="0055470F">
        <w:rPr>
          <w:i/>
          <w:sz w:val="20"/>
          <w:szCs w:val="20"/>
        </w:rPr>
        <w:t>(1994) 6 SCC 0610</w:t>
      </w:r>
    </w:p>
    <w:p w:rsidR="0055470F" w:rsidRPr="0055470F" w:rsidRDefault="0055470F" w:rsidP="0055470F">
      <w:pPr>
        <w:jc w:val="both"/>
        <w:rPr>
          <w:i/>
          <w:sz w:val="20"/>
          <w:szCs w:val="20"/>
        </w:rPr>
      </w:pPr>
      <w:r w:rsidRPr="0055470F">
        <w:rPr>
          <w:i/>
          <w:sz w:val="20"/>
          <w:szCs w:val="20"/>
          <w:vertAlign w:val="superscript"/>
        </w:rPr>
        <w:t>12</w:t>
      </w:r>
      <w:r w:rsidRPr="0055470F">
        <w:rPr>
          <w:i/>
          <w:sz w:val="20"/>
          <w:szCs w:val="20"/>
        </w:rPr>
        <w:t>(2000) 7 SCC 0029</w:t>
      </w:r>
    </w:p>
    <w:p w:rsidR="0055470F" w:rsidRPr="0055470F" w:rsidRDefault="0055470F" w:rsidP="0055470F">
      <w:pPr>
        <w:jc w:val="both"/>
        <w:rPr>
          <w:i/>
          <w:sz w:val="20"/>
          <w:szCs w:val="20"/>
        </w:rPr>
      </w:pPr>
      <w:r w:rsidRPr="0055470F">
        <w:rPr>
          <w:i/>
          <w:sz w:val="20"/>
          <w:szCs w:val="20"/>
          <w:vertAlign w:val="superscript"/>
        </w:rPr>
        <w:t>13</w:t>
      </w:r>
      <w:r w:rsidRPr="0055470F">
        <w:rPr>
          <w:i/>
          <w:sz w:val="20"/>
          <w:szCs w:val="20"/>
        </w:rPr>
        <w:t>(2002) 7 SCC 0435</w:t>
      </w:r>
    </w:p>
    <w:p w:rsidR="0055470F" w:rsidRPr="0055470F" w:rsidRDefault="0055470F" w:rsidP="0055470F">
      <w:pPr>
        <w:jc w:val="both"/>
        <w:rPr>
          <w:i/>
          <w:sz w:val="20"/>
          <w:szCs w:val="20"/>
        </w:rPr>
      </w:pPr>
      <w:r w:rsidRPr="0055470F">
        <w:rPr>
          <w:i/>
          <w:sz w:val="20"/>
          <w:szCs w:val="20"/>
          <w:vertAlign w:val="superscript"/>
        </w:rPr>
        <w:t>14</w:t>
      </w:r>
      <w:r w:rsidRPr="0055470F">
        <w:rPr>
          <w:i/>
          <w:sz w:val="20"/>
          <w:szCs w:val="20"/>
        </w:rPr>
        <w:t>(2003) 1 SCC 0678</w:t>
      </w:r>
    </w:p>
    <w:p w:rsidR="0055470F" w:rsidRPr="0055470F" w:rsidRDefault="0055470F" w:rsidP="0055470F">
      <w:pPr>
        <w:jc w:val="both"/>
        <w:rPr>
          <w:i/>
          <w:sz w:val="20"/>
          <w:szCs w:val="20"/>
        </w:rPr>
      </w:pPr>
      <w:r w:rsidRPr="0055470F">
        <w:rPr>
          <w:i/>
          <w:sz w:val="20"/>
          <w:szCs w:val="20"/>
          <w:vertAlign w:val="superscript"/>
        </w:rPr>
        <w:t>15</w:t>
      </w:r>
      <w:r w:rsidRPr="0055470F">
        <w:rPr>
          <w:i/>
          <w:sz w:val="20"/>
          <w:szCs w:val="20"/>
        </w:rPr>
        <w:t>(2003) 4 SCC 0012</w:t>
      </w:r>
    </w:p>
    <w:p w:rsidR="0055470F" w:rsidRPr="0055470F" w:rsidRDefault="0055470F" w:rsidP="0055470F">
      <w:pPr>
        <w:jc w:val="both"/>
        <w:rPr>
          <w:i/>
          <w:sz w:val="20"/>
          <w:szCs w:val="20"/>
        </w:rPr>
      </w:pPr>
      <w:r w:rsidRPr="0055470F">
        <w:rPr>
          <w:i/>
          <w:sz w:val="20"/>
          <w:szCs w:val="20"/>
          <w:vertAlign w:val="superscript"/>
        </w:rPr>
        <w:t>16</w:t>
      </w:r>
      <w:r w:rsidRPr="0055470F">
        <w:rPr>
          <w:i/>
          <w:sz w:val="20"/>
          <w:szCs w:val="20"/>
        </w:rPr>
        <w:t>(2005) 2 SCC 0662</w:t>
      </w:r>
    </w:p>
    <w:p w:rsidR="0055470F" w:rsidRPr="0055470F" w:rsidRDefault="0055470F" w:rsidP="0055470F">
      <w:pPr>
        <w:jc w:val="both"/>
        <w:rPr>
          <w:i/>
          <w:sz w:val="20"/>
          <w:szCs w:val="20"/>
        </w:rPr>
      </w:pPr>
      <w:r w:rsidRPr="0055470F">
        <w:rPr>
          <w:i/>
          <w:sz w:val="20"/>
          <w:szCs w:val="20"/>
          <w:vertAlign w:val="superscript"/>
        </w:rPr>
        <w:t>17</w:t>
      </w:r>
      <w:r w:rsidRPr="0055470F">
        <w:rPr>
          <w:i/>
          <w:sz w:val="20"/>
          <w:szCs w:val="20"/>
        </w:rPr>
        <w:t>(2005) 4 SCC 0337</w:t>
      </w:r>
    </w:p>
    <w:p w:rsidR="0055470F" w:rsidRPr="0055470F" w:rsidRDefault="0055470F" w:rsidP="0055470F">
      <w:pPr>
        <w:jc w:val="both"/>
        <w:rPr>
          <w:i/>
          <w:sz w:val="20"/>
          <w:szCs w:val="20"/>
        </w:rPr>
      </w:pPr>
      <w:r w:rsidRPr="0055470F">
        <w:rPr>
          <w:i/>
          <w:sz w:val="20"/>
          <w:szCs w:val="20"/>
          <w:vertAlign w:val="superscript"/>
        </w:rPr>
        <w:t>18</w:t>
      </w:r>
      <w:r w:rsidRPr="0055470F">
        <w:rPr>
          <w:i/>
          <w:sz w:val="20"/>
          <w:szCs w:val="20"/>
        </w:rPr>
        <w:t>(2005) 7 SCC 0094</w:t>
      </w:r>
    </w:p>
    <w:p w:rsidR="0055470F" w:rsidRPr="0055470F" w:rsidRDefault="0055470F" w:rsidP="0055470F">
      <w:pPr>
        <w:jc w:val="both"/>
        <w:rPr>
          <w:i/>
          <w:sz w:val="20"/>
          <w:szCs w:val="20"/>
        </w:rPr>
      </w:pPr>
      <w:r w:rsidRPr="0055470F">
        <w:rPr>
          <w:i/>
          <w:sz w:val="20"/>
          <w:szCs w:val="20"/>
          <w:vertAlign w:val="superscript"/>
        </w:rPr>
        <w:t>19</w:t>
      </w:r>
      <w:r w:rsidRPr="0055470F">
        <w:rPr>
          <w:i/>
          <w:sz w:val="20"/>
          <w:szCs w:val="20"/>
        </w:rPr>
        <w:t>(2008) 4 SCC 0548</w:t>
      </w:r>
    </w:p>
    <w:p w:rsidR="0055470F" w:rsidRPr="0055470F" w:rsidRDefault="0055470F" w:rsidP="0055470F">
      <w:pPr>
        <w:jc w:val="both"/>
        <w:rPr>
          <w:i/>
          <w:sz w:val="20"/>
          <w:szCs w:val="20"/>
        </w:rPr>
      </w:pPr>
      <w:r w:rsidRPr="0055470F">
        <w:rPr>
          <w:i/>
          <w:sz w:val="20"/>
          <w:szCs w:val="20"/>
          <w:vertAlign w:val="superscript"/>
        </w:rPr>
        <w:t>20</w:t>
      </w:r>
      <w:r w:rsidRPr="0055470F">
        <w:rPr>
          <w:i/>
          <w:sz w:val="20"/>
          <w:szCs w:val="20"/>
        </w:rPr>
        <w:t>(2005) 2 SCC 0762</w:t>
      </w:r>
    </w:p>
    <w:p w:rsidR="0055470F" w:rsidRPr="0055470F" w:rsidRDefault="0055470F" w:rsidP="0055470F">
      <w:pPr>
        <w:jc w:val="both"/>
        <w:rPr>
          <w:i/>
          <w:sz w:val="20"/>
          <w:szCs w:val="20"/>
        </w:rPr>
      </w:pPr>
      <w:r w:rsidRPr="0055470F">
        <w:rPr>
          <w:i/>
          <w:sz w:val="20"/>
          <w:szCs w:val="20"/>
          <w:vertAlign w:val="superscript"/>
        </w:rPr>
        <w:t>21</w:t>
      </w:r>
      <w:r w:rsidRPr="0055470F">
        <w:rPr>
          <w:i/>
          <w:sz w:val="20"/>
          <w:szCs w:val="20"/>
        </w:rPr>
        <w:t xml:space="preserve">(2009) 12 SCC 0419 </w:t>
      </w:r>
    </w:p>
    <w:p w:rsidR="0055470F" w:rsidRPr="0055470F" w:rsidRDefault="0055470F" w:rsidP="0055470F">
      <w:pPr>
        <w:jc w:val="both"/>
        <w:rPr>
          <w:i/>
          <w:sz w:val="20"/>
          <w:szCs w:val="20"/>
        </w:rPr>
      </w:pPr>
      <w:r w:rsidRPr="0055470F">
        <w:rPr>
          <w:i/>
          <w:sz w:val="20"/>
          <w:szCs w:val="20"/>
          <w:vertAlign w:val="superscript"/>
        </w:rPr>
        <w:t>22</w:t>
      </w:r>
      <w:r w:rsidRPr="0055470F">
        <w:rPr>
          <w:i/>
          <w:sz w:val="20"/>
          <w:szCs w:val="20"/>
        </w:rPr>
        <w:t>(2003) 9 SCC 0199</w:t>
      </w:r>
    </w:p>
    <w:p w:rsidR="0055470F" w:rsidRPr="0055470F" w:rsidRDefault="0055470F" w:rsidP="0055470F">
      <w:pPr>
        <w:jc w:val="both"/>
        <w:rPr>
          <w:i/>
          <w:sz w:val="20"/>
          <w:szCs w:val="20"/>
        </w:rPr>
      </w:pPr>
      <w:r w:rsidRPr="0055470F">
        <w:rPr>
          <w:i/>
          <w:sz w:val="20"/>
          <w:szCs w:val="20"/>
          <w:vertAlign w:val="superscript"/>
        </w:rPr>
        <w:t>23</w:t>
      </w:r>
      <w:r w:rsidRPr="0055470F">
        <w:rPr>
          <w:i/>
          <w:sz w:val="20"/>
          <w:szCs w:val="20"/>
        </w:rPr>
        <w:t xml:space="preserve">(2003) 9 SCC 0185 </w:t>
      </w:r>
    </w:p>
    <w:p w:rsidR="0055470F" w:rsidRPr="0055470F" w:rsidRDefault="0055470F" w:rsidP="0055470F">
      <w:pPr>
        <w:jc w:val="both"/>
        <w:rPr>
          <w:i/>
          <w:sz w:val="20"/>
          <w:szCs w:val="20"/>
        </w:rPr>
      </w:pPr>
      <w:r w:rsidRPr="0055470F">
        <w:rPr>
          <w:i/>
          <w:sz w:val="20"/>
          <w:szCs w:val="20"/>
          <w:vertAlign w:val="superscript"/>
        </w:rPr>
        <w:t>24</w:t>
      </w:r>
      <w:r w:rsidRPr="0055470F">
        <w:rPr>
          <w:i/>
          <w:sz w:val="20"/>
          <w:szCs w:val="20"/>
        </w:rPr>
        <w:t>(2000) 5 SCC 0373</w:t>
      </w:r>
    </w:p>
    <w:p w:rsidR="0055470F" w:rsidRPr="0055470F" w:rsidRDefault="0055470F" w:rsidP="0055470F">
      <w:pPr>
        <w:jc w:val="both"/>
        <w:rPr>
          <w:i/>
          <w:sz w:val="20"/>
          <w:szCs w:val="20"/>
        </w:rPr>
      </w:pPr>
      <w:r w:rsidRPr="0055470F">
        <w:rPr>
          <w:i/>
          <w:sz w:val="20"/>
          <w:szCs w:val="20"/>
          <w:vertAlign w:val="superscript"/>
        </w:rPr>
        <w:t>25</w:t>
      </w:r>
      <w:r w:rsidRPr="0055470F">
        <w:rPr>
          <w:i/>
          <w:sz w:val="20"/>
          <w:szCs w:val="20"/>
        </w:rPr>
        <w:t>(2000) 6 SCC 0359</w:t>
      </w:r>
    </w:p>
    <w:p w:rsidR="0055470F" w:rsidRPr="0055470F" w:rsidRDefault="0055470F" w:rsidP="0055470F">
      <w:pPr>
        <w:jc w:val="both"/>
        <w:rPr>
          <w:i/>
          <w:sz w:val="20"/>
          <w:szCs w:val="20"/>
        </w:rPr>
      </w:pPr>
      <w:r w:rsidRPr="0055470F">
        <w:rPr>
          <w:i/>
          <w:sz w:val="20"/>
          <w:szCs w:val="20"/>
          <w:vertAlign w:val="superscript"/>
        </w:rPr>
        <w:t>27</w:t>
      </w:r>
      <w:r w:rsidRPr="0055470F">
        <w:rPr>
          <w:i/>
          <w:sz w:val="20"/>
          <w:szCs w:val="20"/>
        </w:rPr>
        <w:t>(1981) 2 SCC 0362</w:t>
      </w:r>
    </w:p>
    <w:p w:rsidR="0055470F" w:rsidRPr="0055470F" w:rsidRDefault="0055470F" w:rsidP="0055470F">
      <w:pPr>
        <w:jc w:val="both"/>
        <w:rPr>
          <w:i/>
          <w:sz w:val="20"/>
          <w:szCs w:val="20"/>
        </w:rPr>
      </w:pPr>
      <w:r w:rsidRPr="0055470F">
        <w:rPr>
          <w:i/>
          <w:sz w:val="20"/>
          <w:szCs w:val="20"/>
          <w:vertAlign w:val="superscript"/>
        </w:rPr>
        <w:t>28</w:t>
      </w:r>
      <w:r w:rsidRPr="0055470F">
        <w:rPr>
          <w:i/>
          <w:sz w:val="20"/>
          <w:szCs w:val="20"/>
        </w:rPr>
        <w:t xml:space="preserve">(1978) 2 ELT (J121) </w:t>
      </w:r>
    </w:p>
    <w:p w:rsidR="0055470F" w:rsidRPr="0055470F" w:rsidRDefault="0055470F" w:rsidP="0055470F">
      <w:pPr>
        <w:jc w:val="both"/>
        <w:rPr>
          <w:i/>
          <w:sz w:val="20"/>
          <w:szCs w:val="20"/>
        </w:rPr>
      </w:pPr>
      <w:r w:rsidRPr="0055470F">
        <w:rPr>
          <w:i/>
          <w:sz w:val="20"/>
          <w:szCs w:val="20"/>
          <w:vertAlign w:val="superscript"/>
        </w:rPr>
        <w:t>29</w:t>
      </w:r>
      <w:r w:rsidRPr="0055470F">
        <w:rPr>
          <w:i/>
          <w:sz w:val="20"/>
          <w:szCs w:val="20"/>
        </w:rPr>
        <w:t>(2004) 172 ELT 466</w:t>
      </w:r>
    </w:p>
    <w:p w:rsidR="0055470F" w:rsidRPr="0055470F" w:rsidRDefault="0055470F" w:rsidP="0055470F">
      <w:pPr>
        <w:jc w:val="both"/>
        <w:rPr>
          <w:i/>
          <w:sz w:val="20"/>
          <w:szCs w:val="20"/>
        </w:rPr>
      </w:pPr>
      <w:r w:rsidRPr="0055470F">
        <w:rPr>
          <w:i/>
          <w:sz w:val="20"/>
          <w:szCs w:val="20"/>
          <w:vertAlign w:val="superscript"/>
        </w:rPr>
        <w:t>30</w:t>
      </w:r>
      <w:r w:rsidRPr="0055470F">
        <w:rPr>
          <w:i/>
          <w:sz w:val="20"/>
          <w:szCs w:val="20"/>
        </w:rPr>
        <w:t>(2002) 146 ELT 477</w:t>
      </w:r>
    </w:p>
    <w:p w:rsidR="0055470F" w:rsidRPr="0055470F" w:rsidRDefault="0055470F" w:rsidP="0055470F">
      <w:pPr>
        <w:jc w:val="both"/>
        <w:rPr>
          <w:i/>
          <w:sz w:val="20"/>
          <w:szCs w:val="20"/>
        </w:rPr>
      </w:pPr>
      <w:r w:rsidRPr="0055470F">
        <w:rPr>
          <w:i/>
          <w:sz w:val="20"/>
          <w:szCs w:val="20"/>
          <w:vertAlign w:val="superscript"/>
        </w:rPr>
        <w:t>31</w:t>
      </w:r>
      <w:r w:rsidRPr="0055470F">
        <w:rPr>
          <w:i/>
          <w:sz w:val="20"/>
          <w:szCs w:val="20"/>
        </w:rPr>
        <w:t>(2007) 210 ELT 407 (CESTAT)</w:t>
      </w:r>
    </w:p>
    <w:p w:rsidR="0055470F" w:rsidRPr="0055470F" w:rsidRDefault="0055470F" w:rsidP="0055470F">
      <w:pPr>
        <w:jc w:val="both"/>
        <w:rPr>
          <w:i/>
          <w:sz w:val="20"/>
          <w:szCs w:val="20"/>
        </w:rPr>
      </w:pPr>
      <w:r w:rsidRPr="0055470F">
        <w:rPr>
          <w:i/>
          <w:sz w:val="20"/>
          <w:szCs w:val="20"/>
          <w:vertAlign w:val="superscript"/>
        </w:rPr>
        <w:t>32</w:t>
      </w:r>
      <w:r w:rsidRPr="0055470F">
        <w:rPr>
          <w:i/>
          <w:sz w:val="20"/>
          <w:szCs w:val="20"/>
        </w:rPr>
        <w:t>(2005) 187 ELT 427</w:t>
      </w:r>
    </w:p>
    <w:p w:rsidR="0055470F" w:rsidRPr="0055470F" w:rsidRDefault="0055470F" w:rsidP="0055470F">
      <w:pPr>
        <w:jc w:val="both"/>
        <w:rPr>
          <w:i/>
          <w:sz w:val="20"/>
          <w:szCs w:val="20"/>
        </w:rPr>
      </w:pPr>
      <w:r w:rsidRPr="0055470F">
        <w:rPr>
          <w:i/>
          <w:sz w:val="20"/>
          <w:szCs w:val="20"/>
          <w:vertAlign w:val="superscript"/>
        </w:rPr>
        <w:t>33</w:t>
      </w:r>
      <w:r w:rsidRPr="0055470F">
        <w:rPr>
          <w:i/>
          <w:sz w:val="20"/>
          <w:szCs w:val="20"/>
        </w:rPr>
        <w:t>C.A.No.1697 of 2006</w:t>
      </w:r>
    </w:p>
    <w:p w:rsidR="0055470F" w:rsidRPr="0055470F" w:rsidRDefault="0055470F" w:rsidP="0055470F">
      <w:pPr>
        <w:jc w:val="both"/>
        <w:rPr>
          <w:i/>
          <w:sz w:val="20"/>
          <w:szCs w:val="20"/>
        </w:rPr>
      </w:pPr>
      <w:r w:rsidRPr="0055470F">
        <w:rPr>
          <w:i/>
          <w:sz w:val="20"/>
          <w:szCs w:val="20"/>
          <w:vertAlign w:val="superscript"/>
        </w:rPr>
        <w:t>34</w:t>
      </w:r>
      <w:r w:rsidRPr="0055470F">
        <w:rPr>
          <w:i/>
          <w:sz w:val="20"/>
          <w:szCs w:val="20"/>
        </w:rPr>
        <w:t>(2005) 188 ELT0 48</w:t>
      </w:r>
    </w:p>
    <w:p w:rsidR="0055470F" w:rsidRPr="0055470F" w:rsidRDefault="0055470F" w:rsidP="0055470F">
      <w:pPr>
        <w:jc w:val="both"/>
        <w:rPr>
          <w:i/>
        </w:rPr>
      </w:pPr>
    </w:p>
    <w:sectPr w:rsidR="0055470F" w:rsidRPr="0055470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D59" w:rsidRDefault="005E4D59" w:rsidP="00CF3BB7">
      <w:r>
        <w:separator/>
      </w:r>
    </w:p>
  </w:endnote>
  <w:endnote w:type="continuationSeparator" w:id="1">
    <w:p w:rsidR="005E4D59" w:rsidRDefault="005E4D5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21B5F" w:rsidRPr="00CF3BB7">
          <w:rPr>
            <w:sz w:val="22"/>
            <w:szCs w:val="22"/>
          </w:rPr>
          <w:fldChar w:fldCharType="begin"/>
        </w:r>
        <w:r w:rsidRPr="00CF3BB7">
          <w:rPr>
            <w:sz w:val="22"/>
            <w:szCs w:val="22"/>
          </w:rPr>
          <w:instrText xml:space="preserve"> PAGE   \* MERGEFORMAT </w:instrText>
        </w:r>
        <w:r w:rsidR="00E21B5F" w:rsidRPr="00CF3BB7">
          <w:rPr>
            <w:sz w:val="22"/>
            <w:szCs w:val="22"/>
          </w:rPr>
          <w:fldChar w:fldCharType="separate"/>
        </w:r>
        <w:r w:rsidR="0055470F">
          <w:rPr>
            <w:noProof/>
            <w:sz w:val="22"/>
            <w:szCs w:val="22"/>
          </w:rPr>
          <w:t>1</w:t>
        </w:r>
        <w:r w:rsidR="00E21B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D59" w:rsidRDefault="005E4D59" w:rsidP="00CF3BB7">
      <w:r>
        <w:separator/>
      </w:r>
    </w:p>
  </w:footnote>
  <w:footnote w:type="continuationSeparator" w:id="1">
    <w:p w:rsidR="005E4D59" w:rsidRDefault="005E4D5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760"/>
    <w:rsid w:val="0050697A"/>
    <w:rsid w:val="00511642"/>
    <w:rsid w:val="0051308B"/>
    <w:rsid w:val="00513F88"/>
    <w:rsid w:val="005154F5"/>
    <w:rsid w:val="005269DC"/>
    <w:rsid w:val="00527212"/>
    <w:rsid w:val="005272ED"/>
    <w:rsid w:val="00530341"/>
    <w:rsid w:val="00534C31"/>
    <w:rsid w:val="005413EE"/>
    <w:rsid w:val="00545662"/>
    <w:rsid w:val="0055470F"/>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4D59"/>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332"/>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4EB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11054"/>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12EF"/>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21B5F"/>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0B9B"/>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5891</Words>
  <Characters>33580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2016-12-27T06:19:00Z</cp:lastPrinted>
  <dcterms:created xsi:type="dcterms:W3CDTF">2016-12-27T07:22:00Z</dcterms:created>
  <dcterms:modified xsi:type="dcterms:W3CDTF">2016-12-27T07:22:00Z</dcterms:modified>
</cp:coreProperties>
</file>