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CF3" w:rsidRPr="004C0CF3" w:rsidRDefault="004C0CF3" w:rsidP="004C0CF3">
      <w:pPr>
        <w:jc w:val="center"/>
        <w:rPr>
          <w:b/>
          <w:bCs/>
          <w:szCs w:val="20"/>
        </w:rPr>
      </w:pPr>
      <w:r w:rsidRPr="004C0CF3">
        <w:rPr>
          <w:b/>
          <w:bCs/>
          <w:szCs w:val="20"/>
        </w:rPr>
        <w:t>SUPREME COURT OF INDIA</w:t>
      </w:r>
    </w:p>
    <w:p w:rsidR="004C0CF3" w:rsidRPr="004C0CF3" w:rsidRDefault="004C0CF3" w:rsidP="004C0CF3">
      <w:pPr>
        <w:jc w:val="center"/>
        <w:rPr>
          <w:szCs w:val="20"/>
        </w:rPr>
      </w:pPr>
    </w:p>
    <w:p w:rsidR="004C0CF3" w:rsidRDefault="004C0CF3" w:rsidP="004C0CF3">
      <w:pPr>
        <w:jc w:val="center"/>
        <w:rPr>
          <w:szCs w:val="20"/>
        </w:rPr>
      </w:pPr>
      <w:r>
        <w:rPr>
          <w:szCs w:val="20"/>
        </w:rPr>
        <w:t>Natha Shankar Mahajan</w:t>
      </w:r>
    </w:p>
    <w:p w:rsidR="004C0CF3" w:rsidRDefault="004C0CF3" w:rsidP="004C0CF3">
      <w:pPr>
        <w:jc w:val="center"/>
        <w:rPr>
          <w:szCs w:val="20"/>
        </w:rPr>
      </w:pPr>
    </w:p>
    <w:p w:rsidR="004C0CF3" w:rsidRDefault="004C0CF3" w:rsidP="004C0CF3">
      <w:pPr>
        <w:jc w:val="center"/>
        <w:rPr>
          <w:szCs w:val="20"/>
        </w:rPr>
      </w:pPr>
      <w:r>
        <w:rPr>
          <w:szCs w:val="20"/>
        </w:rPr>
        <w:t>Vs.</w:t>
      </w:r>
    </w:p>
    <w:p w:rsidR="004C0CF3" w:rsidRDefault="004C0CF3" w:rsidP="004C0CF3">
      <w:pPr>
        <w:jc w:val="center"/>
        <w:rPr>
          <w:szCs w:val="20"/>
        </w:rPr>
      </w:pPr>
    </w:p>
    <w:p w:rsidR="004C0CF3" w:rsidRDefault="004C0CF3" w:rsidP="004C0CF3">
      <w:pPr>
        <w:jc w:val="center"/>
        <w:rPr>
          <w:szCs w:val="20"/>
        </w:rPr>
      </w:pPr>
      <w:r>
        <w:rPr>
          <w:szCs w:val="20"/>
        </w:rPr>
        <w:t>State o</w:t>
      </w:r>
      <w:r w:rsidRPr="004C0CF3">
        <w:rPr>
          <w:szCs w:val="20"/>
        </w:rPr>
        <w:t>f Maharashtra</w:t>
      </w:r>
    </w:p>
    <w:p w:rsidR="004C0CF3" w:rsidRDefault="004C0CF3" w:rsidP="004C0CF3">
      <w:pPr>
        <w:jc w:val="center"/>
        <w:rPr>
          <w:szCs w:val="20"/>
        </w:rPr>
      </w:pPr>
    </w:p>
    <w:p w:rsidR="004C0CF3" w:rsidRPr="004C0CF3" w:rsidRDefault="004C0CF3" w:rsidP="004C0CF3">
      <w:pPr>
        <w:jc w:val="center"/>
        <w:rPr>
          <w:szCs w:val="20"/>
        </w:rPr>
      </w:pPr>
      <w:r>
        <w:rPr>
          <w:szCs w:val="20"/>
        </w:rPr>
        <w:t>Crl.A.No.</w:t>
      </w:r>
      <w:r w:rsidRPr="004C0CF3">
        <w:rPr>
          <w:szCs w:val="20"/>
        </w:rPr>
        <w:t>970 of 2006</w:t>
      </w:r>
    </w:p>
    <w:p w:rsidR="004C0CF3" w:rsidRPr="004C0CF3" w:rsidRDefault="004C0CF3" w:rsidP="004C0CF3">
      <w:pPr>
        <w:jc w:val="center"/>
        <w:rPr>
          <w:szCs w:val="20"/>
        </w:rPr>
      </w:pPr>
    </w:p>
    <w:p w:rsidR="004C0CF3" w:rsidRDefault="004C0CF3" w:rsidP="004C0CF3">
      <w:pPr>
        <w:jc w:val="center"/>
        <w:rPr>
          <w:szCs w:val="20"/>
        </w:rPr>
      </w:pPr>
      <w:r>
        <w:rPr>
          <w:szCs w:val="20"/>
        </w:rPr>
        <w:t>(V.S.Sirpurkar and T.S.</w:t>
      </w:r>
      <w:r w:rsidRPr="004C0CF3">
        <w:rPr>
          <w:szCs w:val="20"/>
        </w:rPr>
        <w:t>Thakur</w:t>
      </w:r>
      <w:r>
        <w:rPr>
          <w:szCs w:val="20"/>
        </w:rPr>
        <w:t>,JJ.,)</w:t>
      </w:r>
    </w:p>
    <w:p w:rsidR="004C0CF3" w:rsidRPr="004C0CF3" w:rsidRDefault="004C0CF3" w:rsidP="004C0CF3">
      <w:pPr>
        <w:jc w:val="center"/>
        <w:rPr>
          <w:szCs w:val="20"/>
        </w:rPr>
      </w:pPr>
    </w:p>
    <w:p w:rsidR="004C0CF3" w:rsidRDefault="004C0CF3" w:rsidP="004C0CF3">
      <w:pPr>
        <w:jc w:val="center"/>
        <w:rPr>
          <w:szCs w:val="20"/>
        </w:rPr>
      </w:pPr>
      <w:r>
        <w:rPr>
          <w:szCs w:val="20"/>
        </w:rPr>
        <w:t>28.04.</w:t>
      </w:r>
      <w:r w:rsidRPr="004C0CF3">
        <w:rPr>
          <w:szCs w:val="20"/>
        </w:rPr>
        <w:t>2011</w:t>
      </w:r>
    </w:p>
    <w:p w:rsidR="004C0CF3" w:rsidRPr="004C0CF3" w:rsidRDefault="004C0CF3" w:rsidP="004C0CF3">
      <w:pPr>
        <w:jc w:val="center"/>
        <w:rPr>
          <w:b/>
          <w:bCs/>
          <w:szCs w:val="20"/>
        </w:rPr>
      </w:pPr>
    </w:p>
    <w:p w:rsidR="004C0CF3" w:rsidRPr="004C0CF3" w:rsidRDefault="004C0CF3" w:rsidP="004C0CF3">
      <w:pPr>
        <w:jc w:val="center"/>
        <w:rPr>
          <w:b/>
          <w:bCs/>
          <w:szCs w:val="20"/>
        </w:rPr>
      </w:pPr>
      <w:r w:rsidRPr="004C0CF3">
        <w:rPr>
          <w:b/>
          <w:bCs/>
          <w:szCs w:val="20"/>
        </w:rPr>
        <w:t>JUDGMENT</w:t>
      </w:r>
    </w:p>
    <w:p w:rsidR="004C0CF3" w:rsidRPr="004C0CF3" w:rsidRDefault="004C0CF3" w:rsidP="004C0CF3">
      <w:pPr>
        <w:jc w:val="both"/>
        <w:rPr>
          <w:b/>
          <w:bCs/>
          <w:szCs w:val="20"/>
        </w:rPr>
      </w:pPr>
    </w:p>
    <w:p w:rsidR="004C0CF3" w:rsidRPr="004C0CF3" w:rsidRDefault="004C0CF3" w:rsidP="004C0CF3">
      <w:pPr>
        <w:jc w:val="both"/>
        <w:rPr>
          <w:b/>
          <w:bCs/>
          <w:szCs w:val="20"/>
        </w:rPr>
      </w:pPr>
      <w:r w:rsidRPr="004C0CF3">
        <w:rPr>
          <w:b/>
          <w:bCs/>
          <w:szCs w:val="20"/>
        </w:rPr>
        <w:t>V.S.Sirpurkar,J.,</w:t>
      </w:r>
    </w:p>
    <w:p w:rsidR="004C0CF3" w:rsidRPr="004C0CF3" w:rsidRDefault="004C0CF3" w:rsidP="004C0CF3">
      <w:pPr>
        <w:jc w:val="both"/>
        <w:rPr>
          <w:szCs w:val="20"/>
        </w:rPr>
      </w:pPr>
    </w:p>
    <w:p w:rsidR="004C0CF3" w:rsidRPr="004C0CF3" w:rsidRDefault="004C0CF3" w:rsidP="004C0CF3">
      <w:pPr>
        <w:jc w:val="both"/>
        <w:rPr>
          <w:szCs w:val="20"/>
        </w:rPr>
      </w:pPr>
      <w:r w:rsidRPr="004C0CF3">
        <w:rPr>
          <w:szCs w:val="20"/>
        </w:rPr>
        <w:t>1. This appeal is against the concurrent judgments of the Sessions Court as also the High Court whereby the accused stands convicted for the offence punishable under Section 302 IPC on the allegation that he committed the murder of his wife Sakhubai by pouring kerosene on her person and setting her ablaze.</w:t>
      </w:r>
    </w:p>
    <w:p w:rsidR="004C0CF3" w:rsidRPr="004C0CF3" w:rsidRDefault="004C0CF3" w:rsidP="004C0CF3">
      <w:pPr>
        <w:jc w:val="both"/>
        <w:rPr>
          <w:szCs w:val="20"/>
        </w:rPr>
      </w:pPr>
    </w:p>
    <w:p w:rsidR="004C0CF3" w:rsidRPr="004C0CF3" w:rsidRDefault="004C0CF3" w:rsidP="004C0CF3">
      <w:pPr>
        <w:jc w:val="both"/>
        <w:rPr>
          <w:szCs w:val="20"/>
        </w:rPr>
      </w:pPr>
      <w:r w:rsidRPr="004C0CF3">
        <w:rPr>
          <w:szCs w:val="20"/>
        </w:rPr>
        <w:t>2. As per the prosecution case, the relations between the accused and his wife were not cordial inasmuch as the husband suspected the chastity of his wife and believed that she had illicit relations with one Babulal Parsharam Mahajan. It is alleged that on the fateful day i.e. 19.3.1985, the accused thrashed the deceased whole night and ultimately, in the morning, he set her ablaze. Her screams were heard by her neighbour PW2 Bhagwan Mali who came and sent a information to her father Babu Lal Daga Mahajan that the deceased was burnt. It is the father who had taken the d</w:t>
      </w:r>
      <w:r>
        <w:rPr>
          <w:szCs w:val="20"/>
        </w:rPr>
        <w:t xml:space="preserve">eceased to the hospital. After </w:t>
      </w:r>
      <w:r w:rsidRPr="004C0CF3">
        <w:rPr>
          <w:szCs w:val="20"/>
        </w:rPr>
        <w:t>reaching the hospital, she was treated by PW5 Dr. Dagadu Pawar who also arranged for recording her dying declaration. It is the prosecution case that her dying declaration was recorded by PW3 Bhalerao Bhimsing Salunke, an Executive Magistrate. PW5 Dr. Dagadu Pawar also made an endorsement on the dying declaration that the deceased was conscious and was in a position to give a statement.</w:t>
      </w:r>
    </w:p>
    <w:p w:rsidR="004C0CF3" w:rsidRPr="004C0CF3" w:rsidRDefault="004C0CF3" w:rsidP="004C0CF3">
      <w:pPr>
        <w:jc w:val="both"/>
        <w:rPr>
          <w:szCs w:val="20"/>
        </w:rPr>
      </w:pPr>
      <w:r w:rsidRPr="004C0CF3">
        <w:rPr>
          <w:szCs w:val="20"/>
        </w:rPr>
        <w:t>Both the courts below have relied on the dying declaration.</w:t>
      </w:r>
    </w:p>
    <w:p w:rsidR="004C0CF3" w:rsidRPr="004C0CF3" w:rsidRDefault="004C0CF3" w:rsidP="004C0CF3">
      <w:pPr>
        <w:jc w:val="both"/>
        <w:rPr>
          <w:szCs w:val="20"/>
        </w:rPr>
      </w:pPr>
    </w:p>
    <w:p w:rsidR="004C0CF3" w:rsidRPr="004C0CF3" w:rsidRDefault="004C0CF3" w:rsidP="004C0CF3">
      <w:pPr>
        <w:jc w:val="both"/>
        <w:rPr>
          <w:szCs w:val="20"/>
        </w:rPr>
      </w:pPr>
      <w:r w:rsidRPr="004C0CF3">
        <w:rPr>
          <w:szCs w:val="20"/>
        </w:rPr>
        <w:t>3. Mr. Ranjan Mukherjee, learned counsel appearing for the accused argued that the sole basis of the conviction in this case is the aforesaid dying declaration and, therefore, if there is any suspicion about this dying declaration, the benefit must go to the accused. That is a correct proposition of law. However, it is also the settled position that where the dying declaration is believable, credit worthy and appeals to the court, the same can be made the sole basis of the conviction. That appears to be the case here.</w:t>
      </w:r>
    </w:p>
    <w:p w:rsidR="004C0CF3" w:rsidRPr="004C0CF3" w:rsidRDefault="004C0CF3" w:rsidP="004C0CF3">
      <w:pPr>
        <w:jc w:val="both"/>
        <w:rPr>
          <w:szCs w:val="20"/>
        </w:rPr>
      </w:pPr>
    </w:p>
    <w:p w:rsidR="004C0CF3" w:rsidRPr="004C0CF3" w:rsidRDefault="004C0CF3" w:rsidP="004C0CF3">
      <w:pPr>
        <w:jc w:val="both"/>
        <w:rPr>
          <w:szCs w:val="20"/>
        </w:rPr>
      </w:pPr>
      <w:r w:rsidRPr="004C0CF3">
        <w:rPr>
          <w:szCs w:val="20"/>
        </w:rPr>
        <w:t>4. We have gone through the dying declaration ourselves and also seen the evidence of PWs 3 and 5 whose evidence was not shaken in the cross-examination at all.</w:t>
      </w:r>
      <w:r>
        <w:rPr>
          <w:szCs w:val="20"/>
        </w:rPr>
        <w:t xml:space="preserve"> </w:t>
      </w:r>
      <w:r w:rsidRPr="004C0CF3">
        <w:rPr>
          <w:szCs w:val="20"/>
        </w:rPr>
        <w:t xml:space="preserve">PW5 Dr. Dagadu </w:t>
      </w:r>
      <w:r w:rsidRPr="004C0CF3">
        <w:rPr>
          <w:szCs w:val="20"/>
        </w:rPr>
        <w:lastRenderedPageBreak/>
        <w:t>Pawar has very categorically said in his evidence that the deceased was in a position to understand herself and was in a position to give statement.</w:t>
      </w:r>
      <w:r>
        <w:rPr>
          <w:szCs w:val="20"/>
        </w:rPr>
        <w:t xml:space="preserve"> </w:t>
      </w:r>
      <w:r w:rsidRPr="004C0CF3">
        <w:rPr>
          <w:szCs w:val="20"/>
        </w:rPr>
        <w:t>Therefore, even if t</w:t>
      </w:r>
      <w:r>
        <w:rPr>
          <w:szCs w:val="20"/>
        </w:rPr>
        <w:t xml:space="preserve">he doctor says that he was not </w:t>
      </w:r>
      <w:r w:rsidRPr="004C0CF3">
        <w:rPr>
          <w:szCs w:val="20"/>
        </w:rPr>
        <w:t>attentive as to what exactly was told to the PW3, would not matter particularly in view of statement of PW3 who recorded the dying declaration of the deceased that he recorded the same as per the version of the deceased. In the dying declaration, the deceased had clearly alleged that she was beaten by her husband on account of the suspicion that he had about her chastity and ultimately, he poured kerosene over her body and set her ablaze. She has also given the name of the person with whom she was allegedly in tow.</w:t>
      </w:r>
    </w:p>
    <w:p w:rsidR="004C0CF3" w:rsidRPr="004C0CF3" w:rsidRDefault="004C0CF3" w:rsidP="004C0CF3">
      <w:pPr>
        <w:jc w:val="both"/>
        <w:rPr>
          <w:szCs w:val="20"/>
        </w:rPr>
      </w:pPr>
    </w:p>
    <w:p w:rsidR="004C0CF3" w:rsidRPr="004C0CF3" w:rsidRDefault="004C0CF3" w:rsidP="004C0CF3">
      <w:pPr>
        <w:jc w:val="both"/>
        <w:rPr>
          <w:szCs w:val="20"/>
        </w:rPr>
      </w:pPr>
      <w:r w:rsidRPr="004C0CF3">
        <w:rPr>
          <w:szCs w:val="20"/>
        </w:rPr>
        <w:t>5. There is one more circumstance which has not been adverted to, i.e., the oral dying declaration made by the deceased to her father. As soon as, he reached the house of the deceased, he asked her as to how she was burnt. There is no cross-examination of this witness on this point who was examined as PW6.</w:t>
      </w:r>
    </w:p>
    <w:p w:rsidR="004C0CF3" w:rsidRPr="004C0CF3" w:rsidRDefault="004C0CF3" w:rsidP="004C0CF3">
      <w:pPr>
        <w:jc w:val="both"/>
        <w:rPr>
          <w:szCs w:val="20"/>
        </w:rPr>
      </w:pPr>
    </w:p>
    <w:p w:rsidR="004C0CF3" w:rsidRPr="004C0CF3" w:rsidRDefault="004C0CF3" w:rsidP="004C0CF3">
      <w:pPr>
        <w:jc w:val="both"/>
        <w:rPr>
          <w:szCs w:val="20"/>
        </w:rPr>
      </w:pPr>
      <w:r w:rsidRPr="004C0CF3">
        <w:rPr>
          <w:szCs w:val="20"/>
        </w:rPr>
        <w:t>6. Under the circumstances, we feel that both the courts below have committed no error in relying upon the dying declaration and convicting the accused. Therefore, this appeal fails and is dismissed.</w:t>
      </w:r>
    </w:p>
    <w:p w:rsidR="004C0CF3" w:rsidRPr="004C0CF3" w:rsidRDefault="004C0CF3" w:rsidP="004C0CF3">
      <w:pPr>
        <w:jc w:val="both"/>
        <w:rPr>
          <w:szCs w:val="20"/>
        </w:rPr>
      </w:pPr>
    </w:p>
    <w:p w:rsidR="004C0CF3" w:rsidRPr="008B4370" w:rsidRDefault="004C0CF3" w:rsidP="008B4370">
      <w:pPr>
        <w:jc w:val="both"/>
        <w:rPr>
          <w:szCs w:val="20"/>
        </w:rPr>
      </w:pPr>
    </w:p>
    <w:sectPr w:rsidR="004C0CF3" w:rsidRPr="008B4370" w:rsidSect="00E3538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651" w:rsidRDefault="00693651" w:rsidP="00CF3BB7">
      <w:r>
        <w:separator/>
      </w:r>
    </w:p>
  </w:endnote>
  <w:endnote w:type="continuationSeparator" w:id="1">
    <w:p w:rsidR="00693651" w:rsidRDefault="0069365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9365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651" w:rsidRDefault="00693651" w:rsidP="00CF3BB7">
      <w:r>
        <w:separator/>
      </w:r>
    </w:p>
  </w:footnote>
  <w:footnote w:type="continuationSeparator" w:id="1">
    <w:p w:rsidR="00693651" w:rsidRDefault="00693651" w:rsidP="00CF3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56" w:rsidRDefault="006A6856">
    <w:pPr>
      <w:pStyle w:val="Header"/>
    </w:pPr>
  </w:p>
  <w:p w:rsidR="006A6856" w:rsidRDefault="006A6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5519D"/>
    <w:rsid w:val="000745ED"/>
    <w:rsid w:val="000925EB"/>
    <w:rsid w:val="000C3881"/>
    <w:rsid w:val="000E602C"/>
    <w:rsid w:val="001068D2"/>
    <w:rsid w:val="00122E09"/>
    <w:rsid w:val="001A643E"/>
    <w:rsid w:val="001C323F"/>
    <w:rsid w:val="001D3ED1"/>
    <w:rsid w:val="001E544A"/>
    <w:rsid w:val="001F2DB7"/>
    <w:rsid w:val="00261776"/>
    <w:rsid w:val="002727E7"/>
    <w:rsid w:val="002C0419"/>
    <w:rsid w:val="002C7F40"/>
    <w:rsid w:val="002F79BA"/>
    <w:rsid w:val="00311BBB"/>
    <w:rsid w:val="0036795D"/>
    <w:rsid w:val="00384394"/>
    <w:rsid w:val="003A1B59"/>
    <w:rsid w:val="00404470"/>
    <w:rsid w:val="0044245A"/>
    <w:rsid w:val="004514FA"/>
    <w:rsid w:val="004B642F"/>
    <w:rsid w:val="004C0CF3"/>
    <w:rsid w:val="004C6852"/>
    <w:rsid w:val="004D08DA"/>
    <w:rsid w:val="004D6B96"/>
    <w:rsid w:val="00515E2B"/>
    <w:rsid w:val="00556966"/>
    <w:rsid w:val="005668D7"/>
    <w:rsid w:val="005707FA"/>
    <w:rsid w:val="005A1897"/>
    <w:rsid w:val="005A43A3"/>
    <w:rsid w:val="005F142B"/>
    <w:rsid w:val="005F78F4"/>
    <w:rsid w:val="006369EC"/>
    <w:rsid w:val="00653508"/>
    <w:rsid w:val="006577CB"/>
    <w:rsid w:val="00671E2A"/>
    <w:rsid w:val="00674E00"/>
    <w:rsid w:val="006769A1"/>
    <w:rsid w:val="0068588D"/>
    <w:rsid w:val="00693651"/>
    <w:rsid w:val="006A6856"/>
    <w:rsid w:val="006B72D5"/>
    <w:rsid w:val="00726F5E"/>
    <w:rsid w:val="00731FC3"/>
    <w:rsid w:val="0079125B"/>
    <w:rsid w:val="00794C55"/>
    <w:rsid w:val="007E7A9F"/>
    <w:rsid w:val="00805119"/>
    <w:rsid w:val="008A633E"/>
    <w:rsid w:val="008B4370"/>
    <w:rsid w:val="008E169F"/>
    <w:rsid w:val="00901614"/>
    <w:rsid w:val="00935709"/>
    <w:rsid w:val="00955D7D"/>
    <w:rsid w:val="00973494"/>
    <w:rsid w:val="009C5410"/>
    <w:rsid w:val="009F01D8"/>
    <w:rsid w:val="009F3EA8"/>
    <w:rsid w:val="00A50200"/>
    <w:rsid w:val="00A839B3"/>
    <w:rsid w:val="00AB5F25"/>
    <w:rsid w:val="00B27592"/>
    <w:rsid w:val="00B32B36"/>
    <w:rsid w:val="00B4213F"/>
    <w:rsid w:val="00B71E5F"/>
    <w:rsid w:val="00B955B0"/>
    <w:rsid w:val="00B97833"/>
    <w:rsid w:val="00BA684F"/>
    <w:rsid w:val="00BB7D6F"/>
    <w:rsid w:val="00BF271F"/>
    <w:rsid w:val="00C73B32"/>
    <w:rsid w:val="00CB1919"/>
    <w:rsid w:val="00CE175D"/>
    <w:rsid w:val="00CF3BB7"/>
    <w:rsid w:val="00D12723"/>
    <w:rsid w:val="00D652A8"/>
    <w:rsid w:val="00D714C8"/>
    <w:rsid w:val="00E1490F"/>
    <w:rsid w:val="00E35387"/>
    <w:rsid w:val="00E44FF9"/>
    <w:rsid w:val="00E51D0F"/>
    <w:rsid w:val="00EA03D2"/>
    <w:rsid w:val="00EA77E7"/>
    <w:rsid w:val="00EC2B6E"/>
    <w:rsid w:val="00ED01B0"/>
    <w:rsid w:val="00ED105A"/>
    <w:rsid w:val="00EE162E"/>
    <w:rsid w:val="00F060D3"/>
    <w:rsid w:val="00F13676"/>
    <w:rsid w:val="00F20074"/>
    <w:rsid w:val="00F548F8"/>
    <w:rsid w:val="00F74C1E"/>
    <w:rsid w:val="00F81C68"/>
    <w:rsid w:val="00FB1444"/>
    <w:rsid w:val="00FB754B"/>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 w:type="paragraph" w:styleId="HTMLPreformatted">
    <w:name w:val="HTML Preformatted"/>
    <w:basedOn w:val="Normal"/>
    <w:link w:val="HTMLPreformattedChar"/>
    <w:uiPriority w:val="99"/>
    <w:semiHidden/>
    <w:unhideWhenUsed/>
    <w:rsid w:val="0040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404470"/>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404470"/>
    <w:pPr>
      <w:spacing w:before="100" w:beforeAutospacing="1" w:after="100" w:afterAutospacing="1"/>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404470"/>
  </w:style>
</w:styles>
</file>

<file path=word/webSettings.xml><?xml version="1.0" encoding="utf-8"?>
<w:webSettings xmlns:r="http://schemas.openxmlformats.org/officeDocument/2006/relationships" xmlns:w="http://schemas.openxmlformats.org/wordprocessingml/2006/main">
  <w:divs>
    <w:div w:id="952590901">
      <w:bodyDiv w:val="1"/>
      <w:marLeft w:val="0"/>
      <w:marRight w:val="0"/>
      <w:marTop w:val="0"/>
      <w:marBottom w:val="0"/>
      <w:divBdr>
        <w:top w:val="none" w:sz="0" w:space="0" w:color="auto"/>
        <w:left w:val="none" w:sz="0" w:space="0" w:color="auto"/>
        <w:bottom w:val="none" w:sz="0" w:space="0" w:color="auto"/>
        <w:right w:val="none" w:sz="0" w:space="0" w:color="auto"/>
      </w:divBdr>
      <w:divsChild>
        <w:div w:id="1134834811">
          <w:marLeft w:val="0"/>
          <w:marRight w:val="0"/>
          <w:marTop w:val="0"/>
          <w:marBottom w:val="150"/>
          <w:divBdr>
            <w:top w:val="none" w:sz="0" w:space="0" w:color="auto"/>
            <w:left w:val="none" w:sz="0" w:space="0" w:color="auto"/>
            <w:bottom w:val="none" w:sz="0" w:space="0" w:color="auto"/>
            <w:right w:val="none" w:sz="0" w:space="0" w:color="auto"/>
          </w:divBdr>
        </w:div>
        <w:div w:id="2006936376">
          <w:marLeft w:val="0"/>
          <w:marRight w:val="0"/>
          <w:marTop w:val="0"/>
          <w:marBottom w:val="75"/>
          <w:divBdr>
            <w:top w:val="none" w:sz="0" w:space="0" w:color="auto"/>
            <w:left w:val="none" w:sz="0" w:space="0" w:color="auto"/>
            <w:bottom w:val="none" w:sz="0" w:space="0" w:color="auto"/>
            <w:right w:val="none" w:sz="0" w:space="0" w:color="auto"/>
          </w:divBdr>
        </w:div>
        <w:div w:id="1857771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95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3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62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24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772869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4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2016-09-21T10:00:00Z</cp:lastPrinted>
  <dcterms:created xsi:type="dcterms:W3CDTF">2016-09-21T10:04:00Z</dcterms:created>
  <dcterms:modified xsi:type="dcterms:W3CDTF">2016-09-21T10:04:00Z</dcterms:modified>
</cp:coreProperties>
</file>