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3E5" w:rsidRPr="00210F15" w:rsidRDefault="00210F15" w:rsidP="00210F15">
      <w:pPr>
        <w:jc w:val="center"/>
        <w:rPr>
          <w:b/>
        </w:rPr>
      </w:pPr>
      <w:r w:rsidRPr="00210F15">
        <w:rPr>
          <w:b/>
        </w:rPr>
        <w:t>SUPREME COURT OF INDIA</w:t>
      </w:r>
    </w:p>
    <w:p w:rsidR="00D743E5" w:rsidRDefault="00D743E5" w:rsidP="00210F15">
      <w:pPr>
        <w:jc w:val="center"/>
      </w:pPr>
    </w:p>
    <w:p w:rsidR="00210F15" w:rsidRDefault="00210F15" w:rsidP="00210F15">
      <w:pPr>
        <w:jc w:val="center"/>
      </w:pPr>
      <w:r>
        <w:t>Inst.o</w:t>
      </w:r>
      <w:r w:rsidR="00D743E5">
        <w:t>f Chartered Accountants</w:t>
      </w:r>
    </w:p>
    <w:p w:rsidR="00210F15" w:rsidRDefault="00210F15" w:rsidP="00210F15">
      <w:pPr>
        <w:jc w:val="center"/>
      </w:pPr>
    </w:p>
    <w:p w:rsidR="00210F15" w:rsidRDefault="00210F15" w:rsidP="00210F15">
      <w:pPr>
        <w:jc w:val="center"/>
      </w:pPr>
      <w:r>
        <w:t>Vs.</w:t>
      </w:r>
    </w:p>
    <w:p w:rsidR="00210F15" w:rsidRDefault="00210F15" w:rsidP="00210F15">
      <w:pPr>
        <w:jc w:val="center"/>
      </w:pPr>
    </w:p>
    <w:p w:rsidR="00210F15" w:rsidRDefault="00D743E5" w:rsidP="00210F15">
      <w:pPr>
        <w:jc w:val="center"/>
      </w:pPr>
      <w:r>
        <w:t>Shaunak H Sayta &amp; Ors</w:t>
      </w:r>
      <w:r w:rsidR="00210F15">
        <w:t>.</w:t>
      </w:r>
    </w:p>
    <w:p w:rsidR="00210F15" w:rsidRDefault="00210F15" w:rsidP="00210F15">
      <w:pPr>
        <w:jc w:val="center"/>
      </w:pPr>
    </w:p>
    <w:p w:rsidR="00210F15" w:rsidRDefault="00210F15" w:rsidP="00210F15">
      <w:pPr>
        <w:jc w:val="center"/>
      </w:pPr>
      <w:r>
        <w:t>C.A.No.7571 of 2011</w:t>
      </w:r>
    </w:p>
    <w:p w:rsidR="00210F15" w:rsidRDefault="00210F15" w:rsidP="00210F15">
      <w:pPr>
        <w:jc w:val="center"/>
      </w:pPr>
    </w:p>
    <w:p w:rsidR="00D743E5" w:rsidRDefault="00210F15" w:rsidP="00210F15">
      <w:pPr>
        <w:jc w:val="center"/>
      </w:pPr>
      <w:r>
        <w:t>(R.V. Raveendran and A.K.</w:t>
      </w:r>
      <w:r w:rsidR="00D743E5">
        <w:t>Patnaik</w:t>
      </w:r>
      <w:r>
        <w:t>,JJ.,)</w:t>
      </w:r>
    </w:p>
    <w:p w:rsidR="00210F15" w:rsidRDefault="00210F15" w:rsidP="00210F15">
      <w:pPr>
        <w:jc w:val="center"/>
      </w:pPr>
    </w:p>
    <w:p w:rsidR="00210F15" w:rsidRDefault="00210F15" w:rsidP="00210F15">
      <w:pPr>
        <w:jc w:val="center"/>
      </w:pPr>
      <w:r>
        <w:t>02.09.2011</w:t>
      </w:r>
    </w:p>
    <w:p w:rsidR="00D743E5" w:rsidRDefault="00D743E5" w:rsidP="00210F15">
      <w:pPr>
        <w:jc w:val="center"/>
      </w:pPr>
    </w:p>
    <w:p w:rsidR="00210F15" w:rsidRPr="00210F15" w:rsidRDefault="00210F15" w:rsidP="00210F15">
      <w:pPr>
        <w:jc w:val="center"/>
        <w:rPr>
          <w:b/>
        </w:rPr>
      </w:pPr>
      <w:r w:rsidRPr="00210F15">
        <w:rPr>
          <w:b/>
        </w:rPr>
        <w:t>JUDGMENT</w:t>
      </w:r>
    </w:p>
    <w:p w:rsidR="00210F15" w:rsidRDefault="00210F15" w:rsidP="00D743E5">
      <w:pPr>
        <w:jc w:val="both"/>
      </w:pPr>
    </w:p>
    <w:p w:rsidR="00D743E5" w:rsidRPr="00210F15" w:rsidRDefault="00210F15" w:rsidP="00D743E5">
      <w:pPr>
        <w:jc w:val="both"/>
        <w:rPr>
          <w:b/>
        </w:rPr>
      </w:pPr>
      <w:r w:rsidRPr="00210F15">
        <w:rPr>
          <w:b/>
        </w:rPr>
        <w:t>R.V.Raveendran,J.,</w:t>
      </w:r>
    </w:p>
    <w:p w:rsidR="00210F15" w:rsidRDefault="00210F15" w:rsidP="00D743E5">
      <w:pPr>
        <w:jc w:val="both"/>
      </w:pPr>
    </w:p>
    <w:p w:rsidR="00210F15" w:rsidRDefault="00210F15" w:rsidP="00210F15">
      <w:pPr>
        <w:jc w:val="both"/>
      </w:pPr>
      <w:r>
        <w:t>SLP (Civil)No.2040/2011</w:t>
      </w:r>
    </w:p>
    <w:p w:rsidR="00210F15" w:rsidRDefault="00210F15" w:rsidP="00D743E5">
      <w:pPr>
        <w:jc w:val="both"/>
      </w:pPr>
    </w:p>
    <w:p w:rsidR="00D743E5" w:rsidRDefault="00210F15" w:rsidP="00D743E5">
      <w:pPr>
        <w:jc w:val="both"/>
      </w:pPr>
      <w:r>
        <w:t xml:space="preserve">1. </w:t>
      </w:r>
      <w:r w:rsidR="00D743E5">
        <w:t>Leave granted.</w:t>
      </w:r>
    </w:p>
    <w:p w:rsidR="00210F15" w:rsidRDefault="00210F15" w:rsidP="00D743E5">
      <w:pPr>
        <w:jc w:val="both"/>
      </w:pPr>
    </w:p>
    <w:p w:rsidR="00D743E5" w:rsidRDefault="00D743E5" w:rsidP="00D743E5">
      <w:pPr>
        <w:jc w:val="both"/>
      </w:pPr>
      <w:r>
        <w:t>2. The appellant Institute of Chartered Accountants of India (for short `ICAI') is a body corporate established under section 3 of the Chartered Accountants Act, 1949. One of the functions of the appellant council is to conduct the examination of candidates for enrolment as Chartered Accountants. The first respondent appeared in the Chartered Accountants' final examination conducted by ICAI in November, 2007. The results were declared in January 2008. The first respondent who was not successful in the examination applied for verification of marks. The appellant carried out the verification in accordance with the provisions of the Chartered Accountants Regulations, 1988 and found that there was no discrepancy in evaluation of answerscripts. The appellant informed the first respondent accordingly.</w:t>
      </w:r>
    </w:p>
    <w:p w:rsidR="00210F15" w:rsidRDefault="00210F15" w:rsidP="00D743E5">
      <w:pPr>
        <w:jc w:val="both"/>
      </w:pPr>
    </w:p>
    <w:p w:rsidR="00D743E5" w:rsidRDefault="00D743E5" w:rsidP="00D743E5">
      <w:pPr>
        <w:jc w:val="both"/>
      </w:pPr>
      <w:r>
        <w:t>3. On 18.1.2008 the appellant submitted an application seeking the following information under 13 heads, under the Right to Information Act, 2005 (`RTI Act' for short) :</w:t>
      </w:r>
    </w:p>
    <w:p w:rsidR="00210F15" w:rsidRDefault="00210F15" w:rsidP="00D743E5">
      <w:pPr>
        <w:jc w:val="both"/>
      </w:pPr>
    </w:p>
    <w:p w:rsidR="00D743E5" w:rsidRDefault="00D743E5" w:rsidP="00210F15">
      <w:pPr>
        <w:ind w:left="720"/>
        <w:jc w:val="both"/>
      </w:pPr>
      <w:r>
        <w:t>"1) Educational qualification of the examiners &amp; Moderators with subject wise classifications. (you may not give me the names of the examiners &amp; moderators).</w:t>
      </w:r>
    </w:p>
    <w:p w:rsidR="00210F15" w:rsidRDefault="00210F15" w:rsidP="00210F15">
      <w:pPr>
        <w:ind w:left="720"/>
        <w:jc w:val="both"/>
      </w:pPr>
    </w:p>
    <w:p w:rsidR="00D743E5" w:rsidRDefault="00D743E5" w:rsidP="00210F15">
      <w:pPr>
        <w:ind w:left="720"/>
        <w:jc w:val="both"/>
      </w:pPr>
      <w:r>
        <w:t>2) Procedure established for evaluation of exam papers.</w:t>
      </w:r>
    </w:p>
    <w:p w:rsidR="00210F15" w:rsidRDefault="00210F15" w:rsidP="00210F15">
      <w:pPr>
        <w:ind w:left="720"/>
        <w:jc w:val="both"/>
      </w:pPr>
    </w:p>
    <w:p w:rsidR="00D743E5" w:rsidRDefault="00D743E5" w:rsidP="00210F15">
      <w:pPr>
        <w:ind w:left="720"/>
        <w:jc w:val="both"/>
      </w:pPr>
      <w:r>
        <w:t>3) Instructions issued to the examiners, and moderators oral as well as written if any.</w:t>
      </w:r>
    </w:p>
    <w:p w:rsidR="00210F15" w:rsidRDefault="00210F15" w:rsidP="00210F15">
      <w:pPr>
        <w:ind w:left="720"/>
        <w:jc w:val="both"/>
      </w:pPr>
    </w:p>
    <w:p w:rsidR="00D743E5" w:rsidRDefault="00D743E5" w:rsidP="00210F15">
      <w:pPr>
        <w:ind w:left="720"/>
        <w:jc w:val="both"/>
      </w:pPr>
      <w:r>
        <w:t>4) Procedure established for selection of examiners &amp; moderators.</w:t>
      </w:r>
    </w:p>
    <w:p w:rsidR="00210F15" w:rsidRDefault="00210F15" w:rsidP="00210F15">
      <w:pPr>
        <w:ind w:left="720"/>
        <w:jc w:val="both"/>
      </w:pPr>
    </w:p>
    <w:p w:rsidR="00D743E5" w:rsidRDefault="00D743E5" w:rsidP="00210F15">
      <w:pPr>
        <w:ind w:left="720"/>
        <w:jc w:val="both"/>
      </w:pPr>
      <w:r>
        <w:t>5) Model answers if any given to the examiners &amp; moderators if any.</w:t>
      </w:r>
    </w:p>
    <w:p w:rsidR="00210F15" w:rsidRDefault="00210F15" w:rsidP="00210F15">
      <w:pPr>
        <w:ind w:left="720"/>
        <w:jc w:val="both"/>
      </w:pPr>
    </w:p>
    <w:p w:rsidR="00D743E5" w:rsidRDefault="00D743E5" w:rsidP="00210F15">
      <w:pPr>
        <w:ind w:left="720"/>
        <w:jc w:val="both"/>
      </w:pPr>
      <w:r>
        <w:t>6) Remuneration paid to the examiners &amp; moderators.</w:t>
      </w:r>
    </w:p>
    <w:p w:rsidR="00210F15" w:rsidRDefault="00210F15" w:rsidP="00210F15">
      <w:pPr>
        <w:ind w:left="720"/>
        <w:jc w:val="both"/>
      </w:pPr>
    </w:p>
    <w:p w:rsidR="00D743E5" w:rsidRDefault="00D743E5" w:rsidP="00210F15">
      <w:pPr>
        <w:ind w:left="720"/>
        <w:jc w:val="both"/>
      </w:pPr>
      <w:r>
        <w:t>7) Number of students appearing for exams at all levels in the last 2 years (i.e. PE1/PE2/PCC/CPE/Final with break up)</w:t>
      </w:r>
    </w:p>
    <w:p w:rsidR="00210F15" w:rsidRDefault="00210F15" w:rsidP="00210F15">
      <w:pPr>
        <w:ind w:left="720"/>
        <w:jc w:val="both"/>
      </w:pPr>
    </w:p>
    <w:p w:rsidR="00D743E5" w:rsidRDefault="00D743E5" w:rsidP="00210F15">
      <w:pPr>
        <w:ind w:left="720"/>
        <w:jc w:val="both"/>
      </w:pPr>
      <w:r>
        <w:t>8) Number of students that passed at the 1st attempt from the above.</w:t>
      </w:r>
    </w:p>
    <w:p w:rsidR="00210F15" w:rsidRDefault="00210F15" w:rsidP="00210F15">
      <w:pPr>
        <w:ind w:left="720"/>
        <w:jc w:val="both"/>
      </w:pPr>
    </w:p>
    <w:p w:rsidR="00D743E5" w:rsidRDefault="00D743E5" w:rsidP="00210F15">
      <w:pPr>
        <w:ind w:left="720"/>
        <w:jc w:val="both"/>
      </w:pPr>
      <w:r>
        <w:t>9) From the number of students that failed in the last 2 years (i.e. PE1/PE2/PCC/CPE/Final with break up) from the above, how many students opted for verification of marks as per regulation 38.</w:t>
      </w:r>
    </w:p>
    <w:p w:rsidR="00210F15" w:rsidRDefault="00210F15" w:rsidP="00210F15">
      <w:pPr>
        <w:ind w:left="720"/>
        <w:jc w:val="both"/>
      </w:pPr>
    </w:p>
    <w:p w:rsidR="00D743E5" w:rsidRDefault="00D743E5" w:rsidP="00210F15">
      <w:pPr>
        <w:ind w:left="720"/>
        <w:jc w:val="both"/>
      </w:pPr>
      <w:r>
        <w:t>10) Procedure adopted at the time of verification of marks as above.</w:t>
      </w:r>
    </w:p>
    <w:p w:rsidR="00210F15" w:rsidRDefault="00210F15" w:rsidP="00210F15">
      <w:pPr>
        <w:ind w:left="720"/>
        <w:jc w:val="both"/>
      </w:pPr>
    </w:p>
    <w:p w:rsidR="00D743E5" w:rsidRDefault="00D743E5" w:rsidP="00210F15">
      <w:pPr>
        <w:ind w:left="720"/>
        <w:jc w:val="both"/>
      </w:pPr>
      <w:r>
        <w:t>11) Number of students whose marks were positively changed out of those students that opted for verification of marks.</w:t>
      </w:r>
    </w:p>
    <w:p w:rsidR="00210F15" w:rsidRDefault="00210F15" w:rsidP="00210F15">
      <w:pPr>
        <w:ind w:left="720"/>
        <w:jc w:val="both"/>
      </w:pPr>
    </w:p>
    <w:p w:rsidR="00D743E5" w:rsidRDefault="00D743E5" w:rsidP="00210F15">
      <w:pPr>
        <w:ind w:left="720"/>
        <w:jc w:val="both"/>
      </w:pPr>
      <w:r>
        <w:t>12) Educational qualifications of the persons performing the verification of marks under Regulation 38 &amp; remuneration paid to them.</w:t>
      </w:r>
    </w:p>
    <w:p w:rsidR="00210F15" w:rsidRDefault="00210F15" w:rsidP="00210F15">
      <w:pPr>
        <w:ind w:left="720"/>
        <w:jc w:val="both"/>
      </w:pPr>
    </w:p>
    <w:p w:rsidR="00D743E5" w:rsidRDefault="00D743E5" w:rsidP="00210F15">
      <w:pPr>
        <w:ind w:left="720"/>
        <w:jc w:val="both"/>
      </w:pPr>
      <w:r>
        <w:t xml:space="preserve">13) Number of times that the council has revised the marks of any candidate, or any class of candidates, in accordance with regulation  </w:t>
      </w:r>
    </w:p>
    <w:p w:rsidR="00210F15" w:rsidRDefault="00210F15" w:rsidP="00210F15">
      <w:pPr>
        <w:ind w:left="720"/>
        <w:jc w:val="both"/>
      </w:pPr>
    </w:p>
    <w:p w:rsidR="00D743E5" w:rsidRDefault="00D743E5" w:rsidP="00210F15">
      <w:pPr>
        <w:ind w:left="720"/>
        <w:jc w:val="both"/>
      </w:pPr>
      <w:r>
        <w:t xml:space="preserve"> 39(2) of the Chartered Accountants Regulations, 1988, the criteria used for such discretion, the quantum of such revision, the quantum of such revision, the authority that decides such discretion, and the number of students along with the quantum of revision affected by such revision in the last 5 exams, held at all levels (i.e. PE1/PE2/PCC/CPE/Final with break up)."</w:t>
      </w:r>
    </w:p>
    <w:p w:rsidR="00210F15" w:rsidRDefault="00210F15" w:rsidP="00210F15">
      <w:pPr>
        <w:ind w:left="720"/>
        <w:jc w:val="both"/>
      </w:pPr>
    </w:p>
    <w:p w:rsidR="00D743E5" w:rsidRDefault="00D743E5" w:rsidP="00210F15">
      <w:pPr>
        <w:jc w:val="right"/>
      </w:pPr>
      <w:r>
        <w:t>(emphasis supplied)</w:t>
      </w:r>
    </w:p>
    <w:p w:rsidR="00210F15" w:rsidRDefault="00210F15" w:rsidP="00210F15">
      <w:pPr>
        <w:jc w:val="right"/>
      </w:pPr>
    </w:p>
    <w:p w:rsidR="00D743E5" w:rsidRDefault="00D743E5" w:rsidP="00210F15">
      <w:pPr>
        <w:ind w:left="720"/>
        <w:jc w:val="both"/>
      </w:pPr>
      <w:r>
        <w:t>4. The appellant by its reply dated 22.2.2008 gave the following responses/information in response to the 13 queries :</w:t>
      </w:r>
    </w:p>
    <w:p w:rsidR="00210F15" w:rsidRDefault="00210F15" w:rsidP="00D743E5">
      <w:pPr>
        <w:jc w:val="both"/>
      </w:pPr>
    </w:p>
    <w:p w:rsidR="00D743E5" w:rsidRDefault="00D743E5" w:rsidP="00210F15">
      <w:pPr>
        <w:ind w:left="720"/>
        <w:jc w:val="both"/>
      </w:pPr>
      <w:r>
        <w:t>"1. Professionals, academicians and officials with relevant academic and practical experience and exposure in relevant and related fields. 2&amp;3. Evaluation of answer books is carried out in terms of the guidance including instructions provided by Head Examiners appointed for each subject(s). Subsequently, a review thereof is undertaken for the purpose of moderators.</w:t>
      </w:r>
    </w:p>
    <w:p w:rsidR="00210F15" w:rsidRDefault="00210F15" w:rsidP="00210F15">
      <w:pPr>
        <w:ind w:left="720"/>
        <w:jc w:val="both"/>
      </w:pPr>
    </w:p>
    <w:p w:rsidR="00D743E5" w:rsidRDefault="00D743E5" w:rsidP="00210F15">
      <w:pPr>
        <w:ind w:left="720"/>
        <w:jc w:val="both"/>
      </w:pPr>
      <w:r>
        <w:t>4. In terms of (1) above, a list of examiners is maintained under Regulation 42 of the Chartered Accountants Regulations, 1988. Based on the performance of the examiners, moderators are appointed from amongst the examiners.</w:t>
      </w:r>
    </w:p>
    <w:p w:rsidR="00210F15" w:rsidRDefault="00210F15" w:rsidP="00210F15">
      <w:pPr>
        <w:jc w:val="both"/>
      </w:pPr>
    </w:p>
    <w:p w:rsidR="00D743E5" w:rsidRDefault="00D743E5" w:rsidP="00210F15">
      <w:pPr>
        <w:ind w:left="720"/>
        <w:jc w:val="both"/>
      </w:pPr>
      <w:r>
        <w:lastRenderedPageBreak/>
        <w:t>5. Solutions are given in confidence of examiners for the purpose of evaluation. Services of moderators are utilized in our context for paper setting.</w:t>
      </w:r>
    </w:p>
    <w:p w:rsidR="00210F15" w:rsidRDefault="00210F15" w:rsidP="00210F15">
      <w:pPr>
        <w:ind w:left="720"/>
        <w:jc w:val="both"/>
      </w:pPr>
    </w:p>
    <w:p w:rsidR="00D743E5" w:rsidRDefault="00D743E5" w:rsidP="00210F15">
      <w:pPr>
        <w:ind w:left="720"/>
        <w:jc w:val="both"/>
      </w:pPr>
      <w:r>
        <w:t>6. Rs.50/- per answer book is paid to the examiner while Rs.10,000/- is paid to the moderator for each paper.</w:t>
      </w:r>
    </w:p>
    <w:p w:rsidR="00210F15" w:rsidRDefault="00210F15" w:rsidP="00210F15">
      <w:pPr>
        <w:ind w:left="720"/>
        <w:jc w:val="both"/>
      </w:pPr>
    </w:p>
    <w:p w:rsidR="00D743E5" w:rsidRDefault="00D743E5" w:rsidP="00210F15">
      <w:pPr>
        <w:ind w:left="720"/>
        <w:jc w:val="both"/>
      </w:pPr>
      <w:r>
        <w:t>7. The number of students who appeared in the last two years is as follow:</w:t>
      </w:r>
    </w:p>
    <w:p w:rsidR="00D743E5" w:rsidRDefault="00D743E5" w:rsidP="00210F15">
      <w:pPr>
        <w:ind w:left="720"/>
        <w:jc w:val="both"/>
      </w:pPr>
      <w:r>
        <w:t xml:space="preserve"> Month   &amp;   Number of students Appeared</w:t>
      </w:r>
      <w:r w:rsidR="00210F15">
        <w:t xml:space="preserve"> </w:t>
      </w:r>
      <w:r>
        <w:t>Year</w:t>
      </w:r>
    </w:p>
    <w:p w:rsidR="00D743E5" w:rsidRDefault="00D743E5" w:rsidP="00210F15">
      <w:pPr>
        <w:ind w:left="720"/>
        <w:jc w:val="both"/>
      </w:pPr>
    </w:p>
    <w:p w:rsidR="00D743E5" w:rsidRDefault="00D743E5" w:rsidP="00210F15">
      <w:pPr>
        <w:ind w:left="720"/>
        <w:jc w:val="both"/>
      </w:pPr>
      <w:r>
        <w:t xml:space="preserve">      PE-I       </w:t>
      </w:r>
      <w:r w:rsidR="00210F15">
        <w:t xml:space="preserve">            </w:t>
      </w:r>
      <w:r>
        <w:t xml:space="preserve"> PE-II         PCC          CPE*            FINAL</w:t>
      </w:r>
    </w:p>
    <w:p w:rsidR="00D743E5" w:rsidRDefault="00D743E5" w:rsidP="00210F15">
      <w:pPr>
        <w:ind w:left="720"/>
        <w:jc w:val="both"/>
      </w:pPr>
    </w:p>
    <w:p w:rsidR="00D743E5" w:rsidRDefault="00D743E5" w:rsidP="00210F15">
      <w:pPr>
        <w:ind w:left="720"/>
        <w:jc w:val="both"/>
      </w:pPr>
      <w:r>
        <w:t xml:space="preserve">       Nov.,2005      16228        47522         Not held     Not held        28367</w:t>
      </w:r>
    </w:p>
    <w:p w:rsidR="00D743E5" w:rsidRDefault="00D743E5" w:rsidP="00210F15">
      <w:pPr>
        <w:ind w:left="720"/>
        <w:jc w:val="both"/>
      </w:pPr>
    </w:p>
    <w:p w:rsidR="00D743E5" w:rsidRDefault="00D743E5" w:rsidP="00210F15">
      <w:pPr>
        <w:ind w:left="720"/>
        <w:jc w:val="both"/>
      </w:pPr>
      <w:r>
        <w:t xml:space="preserve">       May,2006       32215        49505         Not held     Not held        26254</w:t>
      </w:r>
    </w:p>
    <w:p w:rsidR="00D743E5" w:rsidRDefault="00D743E5" w:rsidP="00210F15">
      <w:pPr>
        <w:ind w:left="720"/>
        <w:jc w:val="both"/>
      </w:pPr>
    </w:p>
    <w:p w:rsidR="00D743E5" w:rsidRDefault="00D743E5" w:rsidP="00210F15">
      <w:pPr>
        <w:ind w:left="720"/>
        <w:jc w:val="both"/>
      </w:pPr>
      <w:r>
        <w:t xml:space="preserve">       Nov.,2006      16089        49220         Not held     27629           24704</w:t>
      </w:r>
    </w:p>
    <w:p w:rsidR="00D743E5" w:rsidRDefault="00D743E5" w:rsidP="00210F15">
      <w:pPr>
        <w:ind w:left="720"/>
        <w:jc w:val="both"/>
      </w:pPr>
    </w:p>
    <w:p w:rsidR="00D743E5" w:rsidRDefault="00D743E5" w:rsidP="00210F15">
      <w:pPr>
        <w:ind w:left="720"/>
        <w:jc w:val="both"/>
      </w:pPr>
      <w:r>
        <w:t xml:space="preserve">       May,2007       6194         56624         51           42910           23490</w:t>
      </w:r>
    </w:p>
    <w:p w:rsidR="00D743E5" w:rsidRDefault="00D743E5" w:rsidP="00210F15">
      <w:pPr>
        <w:ind w:left="720"/>
        <w:jc w:val="both"/>
      </w:pPr>
    </w:p>
    <w:p w:rsidR="00D743E5" w:rsidRDefault="00D743E5" w:rsidP="00210F15">
      <w:pPr>
        <w:ind w:left="720"/>
        <w:jc w:val="both"/>
      </w:pPr>
      <w:r>
        <w:t xml:space="preserve">      *CPE is read as Common Proficiency Test (CPT).</w:t>
      </w:r>
    </w:p>
    <w:p w:rsidR="00D743E5" w:rsidRDefault="00D743E5" w:rsidP="00210F15">
      <w:pPr>
        <w:ind w:left="720"/>
        <w:jc w:val="both"/>
      </w:pPr>
    </w:p>
    <w:p w:rsidR="00D743E5" w:rsidRDefault="00D743E5" w:rsidP="00210F15">
      <w:pPr>
        <w:ind w:left="720"/>
        <w:jc w:val="both"/>
      </w:pPr>
      <w:r>
        <w:t>8. Since such a data is not compiled, it is regretted that the number of students who passed Final Examination at the 1st attempt cannot be made available.</w:t>
      </w:r>
    </w:p>
    <w:p w:rsidR="00210F15" w:rsidRDefault="00210F15" w:rsidP="00210F15">
      <w:pPr>
        <w:ind w:left="720"/>
        <w:jc w:val="both"/>
      </w:pPr>
    </w:p>
    <w:p w:rsidR="00D743E5" w:rsidRDefault="00D743E5" w:rsidP="00210F15">
      <w:pPr>
        <w:ind w:left="720"/>
        <w:jc w:val="both"/>
      </w:pPr>
      <w:r>
        <w:t>9. The number of students who applied for the verification of answer books is as follows:-</w:t>
      </w:r>
    </w:p>
    <w:p w:rsidR="00D743E5" w:rsidRDefault="00D743E5" w:rsidP="00210F15">
      <w:pPr>
        <w:ind w:left="720"/>
        <w:jc w:val="both"/>
      </w:pPr>
      <w:r>
        <w:t>Month &amp; Number of students who applied for verification from Year among the failed candidates* PE-I PE-II PCC CPE FINAL Nov.,2005 598 4150 Not held Not held 4432 May,2006 1607 4581 Not held Not held 4070 Nov.,2006 576 4894 Not held 205 3352 May,2007 204 5813 07 431 3310 * This figure may contain some pass candidates also.</w:t>
      </w:r>
    </w:p>
    <w:p w:rsidR="00210F15" w:rsidRDefault="00210F15" w:rsidP="00210F15">
      <w:pPr>
        <w:ind w:left="720"/>
        <w:jc w:val="both"/>
      </w:pPr>
    </w:p>
    <w:p w:rsidR="00D743E5" w:rsidRDefault="00D743E5" w:rsidP="00210F15">
      <w:pPr>
        <w:ind w:left="720"/>
        <w:jc w:val="both"/>
      </w:pPr>
      <w:r>
        <w:t>10. Each request for verification is processed in accordance with Regulation 39(4) of the Chartered Accountants Regulation, 1988 through well laid down scientific and meticulous procedure and a comprehensive checking is done before arriving at any conclusion. The process of verification starts after declaration of result and each request is processed on first come first served basis. The verification of the answer books, as requested, is done by two independent persons separately and then, reviewed by an Officer of the Institute and upon his satisfaction, the letter informing the outcome of the verification exercise is issued after the comprehensive check has been satisfactorily completed.</w:t>
      </w:r>
    </w:p>
    <w:p w:rsidR="00210F15" w:rsidRDefault="00210F15" w:rsidP="00210F15">
      <w:pPr>
        <w:ind w:left="720"/>
        <w:jc w:val="both"/>
      </w:pPr>
    </w:p>
    <w:p w:rsidR="00D743E5" w:rsidRDefault="00D743E5" w:rsidP="00210F15">
      <w:pPr>
        <w:ind w:left="720"/>
        <w:jc w:val="both"/>
      </w:pPr>
      <w:r>
        <w:t>11. The number of students who were declared passed consequent to the verification of answer books is as given below:-</w:t>
      </w:r>
    </w:p>
    <w:p w:rsidR="00D743E5" w:rsidRDefault="00D743E5" w:rsidP="00210F15">
      <w:pPr>
        <w:ind w:left="720"/>
        <w:jc w:val="both"/>
      </w:pPr>
    </w:p>
    <w:p w:rsidR="00D743E5" w:rsidRDefault="00D743E5" w:rsidP="00210F15">
      <w:pPr>
        <w:ind w:left="720"/>
        <w:jc w:val="both"/>
      </w:pPr>
    </w:p>
    <w:p w:rsidR="00D743E5" w:rsidRDefault="00D743E5" w:rsidP="00210F15">
      <w:pPr>
        <w:ind w:left="720"/>
        <w:jc w:val="both"/>
      </w:pPr>
    </w:p>
    <w:p w:rsidR="00D743E5" w:rsidRDefault="00D743E5" w:rsidP="00210F15">
      <w:pPr>
        <w:ind w:left="720"/>
        <w:jc w:val="both"/>
      </w:pPr>
    </w:p>
    <w:p w:rsidR="00D743E5" w:rsidRDefault="00D743E5" w:rsidP="00210F15">
      <w:pPr>
        <w:ind w:left="720"/>
        <w:jc w:val="both"/>
      </w:pPr>
      <w:r>
        <w:t xml:space="preserve"> Month  &amp;  Number  of students who  applied  for verification  from </w:t>
      </w:r>
      <w:r w:rsidR="00210F15">
        <w:t xml:space="preserve"> </w:t>
      </w:r>
      <w:r>
        <w:t xml:space="preserve"> Year among the failed candidates*</w:t>
      </w:r>
    </w:p>
    <w:p w:rsidR="00D743E5" w:rsidRDefault="00D743E5" w:rsidP="00210F15">
      <w:pPr>
        <w:ind w:left="720"/>
        <w:jc w:val="both"/>
      </w:pPr>
    </w:p>
    <w:p w:rsidR="00D743E5" w:rsidRDefault="00D743E5" w:rsidP="00210F15">
      <w:pPr>
        <w:ind w:left="720"/>
        <w:jc w:val="both"/>
      </w:pPr>
      <w:r>
        <w:t xml:space="preserve">  PE-I        PE-II            PCC            CPE               FINAL</w:t>
      </w:r>
    </w:p>
    <w:p w:rsidR="00D743E5" w:rsidRDefault="00D743E5" w:rsidP="00210F15">
      <w:pPr>
        <w:ind w:left="720"/>
        <w:jc w:val="both"/>
      </w:pPr>
    </w:p>
    <w:p w:rsidR="00D743E5" w:rsidRDefault="00D743E5" w:rsidP="00210F15">
      <w:pPr>
        <w:ind w:left="720"/>
        <w:jc w:val="both"/>
      </w:pPr>
      <w:r>
        <w:t>* This figure may contain some pass candidates also.</w:t>
      </w:r>
    </w:p>
    <w:p w:rsidR="00D743E5" w:rsidRDefault="00D743E5" w:rsidP="00210F15">
      <w:pPr>
        <w:ind w:left="720"/>
        <w:jc w:val="both"/>
      </w:pPr>
    </w:p>
    <w:p w:rsidR="00D743E5" w:rsidRDefault="00D743E5" w:rsidP="00210F15">
      <w:pPr>
        <w:ind w:left="720"/>
        <w:jc w:val="both"/>
      </w:pPr>
    </w:p>
    <w:p w:rsidR="00D743E5" w:rsidRDefault="00D743E5" w:rsidP="00210F15">
      <w:pPr>
        <w:ind w:left="720"/>
        <w:jc w:val="both"/>
      </w:pPr>
      <w:r>
        <w:t xml:space="preserve">12. Independent persons such as retired Govt. teachers/Officers are assigned the task of verification of answer books work. A token  </w:t>
      </w:r>
      <w:r w:rsidR="00210F15">
        <w:t xml:space="preserve"> </w:t>
      </w:r>
      <w:r>
        <w:t>honorarium of Rs.6/- per candidate besides lump sum daily conveyance allowance is paid.</w:t>
      </w:r>
    </w:p>
    <w:p w:rsidR="00210F15" w:rsidRDefault="00210F15" w:rsidP="00210F15">
      <w:pPr>
        <w:ind w:left="720"/>
        <w:jc w:val="both"/>
      </w:pPr>
    </w:p>
    <w:p w:rsidR="00D743E5" w:rsidRDefault="00D743E5" w:rsidP="00210F15">
      <w:pPr>
        <w:ind w:left="720"/>
        <w:jc w:val="both"/>
      </w:pPr>
      <w:r>
        <w:t>13. The Examination Committee in terms of Regulation 39(2) has the authority to revise the marks based on the findings of the Head Examiners and incidental information in the knowledge of the Examination Committee, in its best wisdom. Since the details sought are highly confidential in nature and there is no larger public interest warrants disclosure, the same is denied under Section 8(1)(e) of the Right to Information Act, 2005."</w:t>
      </w:r>
    </w:p>
    <w:p w:rsidR="00210F15" w:rsidRDefault="00210F15" w:rsidP="00210F15">
      <w:pPr>
        <w:ind w:left="720"/>
        <w:jc w:val="both"/>
      </w:pPr>
    </w:p>
    <w:p w:rsidR="00D743E5" w:rsidRDefault="00D743E5" w:rsidP="00210F15">
      <w:pPr>
        <w:ind w:left="720"/>
        <w:jc w:val="both"/>
      </w:pPr>
      <w:r>
        <w:t>(emphasis supplied)</w:t>
      </w:r>
    </w:p>
    <w:p w:rsidR="00210F15" w:rsidRDefault="00210F15" w:rsidP="00D743E5">
      <w:pPr>
        <w:jc w:val="both"/>
      </w:pPr>
    </w:p>
    <w:p w:rsidR="00D743E5" w:rsidRDefault="00D743E5" w:rsidP="00D743E5">
      <w:pPr>
        <w:jc w:val="both"/>
      </w:pPr>
      <w:r>
        <w:t>5. Not being satisfied with the same, the respondent filed an appeal before the appellate authority. The appellate authority dismissed the appeal, by order dated 10.4.2008, concurring with the order of the Chief Public Information Officer of the appellant. The first respondent thereafter filed a second appeal before the Central Information Commission (for short `CIC') in regard to queries (1) to (5) and (7) to (13). CIC by order dated 23.12.2008 rejected the appeal in regard to queries 3, 5 and 13 (as also Query 2) while directing the disclosure of information in regard to the other questions. We extract below the reasoning given by the CIC to refuse disclosure in regard to queries 3,5 and 13.</w:t>
      </w:r>
    </w:p>
    <w:p w:rsidR="00210F15" w:rsidRDefault="00210F15" w:rsidP="00D743E5">
      <w:pPr>
        <w:jc w:val="both"/>
      </w:pPr>
    </w:p>
    <w:p w:rsidR="00D743E5" w:rsidRDefault="00D743E5" w:rsidP="00210F15">
      <w:pPr>
        <w:ind w:left="720"/>
        <w:jc w:val="both"/>
      </w:pPr>
      <w:r>
        <w:t>"Re: Query No.3.</w:t>
      </w:r>
    </w:p>
    <w:p w:rsidR="00210F15" w:rsidRDefault="00210F15" w:rsidP="00210F15">
      <w:pPr>
        <w:ind w:left="720"/>
        <w:jc w:val="both"/>
      </w:pPr>
    </w:p>
    <w:p w:rsidR="00D743E5" w:rsidRDefault="00D743E5" w:rsidP="00210F15">
      <w:pPr>
        <w:ind w:left="720"/>
        <w:jc w:val="both"/>
      </w:pPr>
      <w:r>
        <w:t>Decision:</w:t>
      </w:r>
    </w:p>
    <w:p w:rsidR="00210F15" w:rsidRDefault="00210F15" w:rsidP="00210F15">
      <w:pPr>
        <w:ind w:left="720"/>
        <w:jc w:val="both"/>
      </w:pPr>
    </w:p>
    <w:p w:rsidR="00D743E5" w:rsidRDefault="00D743E5" w:rsidP="00210F15">
      <w:pPr>
        <w:ind w:left="720"/>
        <w:jc w:val="both"/>
      </w:pPr>
      <w:r>
        <w:t>This request of the Appellant cannot be without seriously and perhaps irretrievably compromising the entire examination process. An instruction issued by a public authority - in this case, examination conducting authority - to its examiners is strictly confidential. There is an implied contract between the examiners and the</w:t>
      </w:r>
      <w:r w:rsidR="00210F15">
        <w:t xml:space="preserve"> examination conducting public </w:t>
      </w:r>
      <w:r>
        <w:t xml:space="preserve">authority. It would be inappropriate to disclose this information. This item of information too, like the previous one, attracts section 8(1)(d) being the intellectual property of the public authority having being developed through careful empirical and intellectual study and analysis over the years. I, therefore, hold that this </w:t>
      </w:r>
      <w:r>
        <w:lastRenderedPageBreak/>
        <w:t>item of query attracts exemption under section 8(1)(e) as well as section 8(1)(d) of the RTI Act. Re : Query No.5.</w:t>
      </w:r>
    </w:p>
    <w:p w:rsidR="00210F15" w:rsidRDefault="00210F15" w:rsidP="00D743E5">
      <w:pPr>
        <w:jc w:val="both"/>
      </w:pPr>
    </w:p>
    <w:p w:rsidR="00D743E5" w:rsidRDefault="00D743E5" w:rsidP="00210F15">
      <w:pPr>
        <w:ind w:left="720"/>
        <w:jc w:val="both"/>
      </w:pPr>
      <w:r>
        <w:t>Decision:</w:t>
      </w:r>
    </w:p>
    <w:p w:rsidR="00210F15" w:rsidRDefault="00210F15" w:rsidP="00210F15">
      <w:pPr>
        <w:ind w:left="720"/>
        <w:jc w:val="both"/>
      </w:pPr>
    </w:p>
    <w:p w:rsidR="00D743E5" w:rsidRDefault="00D743E5" w:rsidP="00210F15">
      <w:pPr>
        <w:ind w:left="720"/>
        <w:jc w:val="both"/>
      </w:pPr>
      <w:r>
        <w:t>Respondents have explained that what they provide to the examiners is "solutions" and not "model answers" as assumed by the appellant. For the aid of the students and examinees, "suggested answers" to the questions in an exam are brought out and sold in the market.</w:t>
      </w:r>
      <w:r w:rsidR="00210F15">
        <w:t xml:space="preserve"> </w:t>
      </w:r>
      <w:r>
        <w:t>It would be wholly inappropriate to provide to the students the solutions given to the questions only for the exclusive use of the examiners and moderators. Given the confidentiality of interaction between the public authority holding the examinations and the examiners, the "solutions" qualifies to be items barred by section 8(1)(e) of the RTI Act. This item of information also attracts section 8(1)(d) being the exclusive intellectual property of the public authority. Respondents have rightly advised the appellant to secure the "suggested answers" to the questions from the open market, where these are available for sale.</w:t>
      </w:r>
    </w:p>
    <w:p w:rsidR="00210F15" w:rsidRDefault="00210F15" w:rsidP="00210F15">
      <w:pPr>
        <w:ind w:left="720"/>
        <w:jc w:val="both"/>
      </w:pPr>
    </w:p>
    <w:p w:rsidR="00D743E5" w:rsidRDefault="00D743E5" w:rsidP="00210F15">
      <w:pPr>
        <w:ind w:left="720"/>
        <w:jc w:val="both"/>
      </w:pPr>
      <w:r>
        <w:t>Re : Query No.13.</w:t>
      </w:r>
    </w:p>
    <w:p w:rsidR="00210F15" w:rsidRDefault="00210F15" w:rsidP="00210F15">
      <w:pPr>
        <w:ind w:left="720"/>
        <w:jc w:val="both"/>
      </w:pPr>
    </w:p>
    <w:p w:rsidR="00D743E5" w:rsidRDefault="00D743E5" w:rsidP="00210F15">
      <w:pPr>
        <w:ind w:left="720"/>
        <w:jc w:val="both"/>
      </w:pPr>
      <w:r>
        <w:t>Decision:</w:t>
      </w:r>
    </w:p>
    <w:p w:rsidR="00D743E5" w:rsidRDefault="00D743E5" w:rsidP="00210F15">
      <w:pPr>
        <w:ind w:left="720"/>
        <w:jc w:val="both"/>
      </w:pPr>
      <w:r>
        <w:t>I find no infirmity in the reply furnished to the appellant. It is a categorical statement and must be accepted as such. Appellant seems to have certain presumptions and assumptions about what these replies should be. Respondents are not obliged to cater to that. It is therefore held that there shall be no further disclosure of information as regards this item of query."</w:t>
      </w:r>
    </w:p>
    <w:p w:rsidR="00210F15" w:rsidRDefault="00210F15" w:rsidP="00D743E5">
      <w:pPr>
        <w:jc w:val="both"/>
      </w:pPr>
    </w:p>
    <w:p w:rsidR="00D743E5" w:rsidRDefault="00D743E5" w:rsidP="00D743E5">
      <w:pPr>
        <w:jc w:val="both"/>
      </w:pPr>
      <w:r>
        <w:t>6. Feeling aggrieved by the rejection of information sought under items 3, 5 and 13, the first respondent approached the Bombay High Court by filing a writ petition. The High Court allowed the said petition by order dated 30.11.2010 and directed the appellant to supply the information in regard to queries 3, 5 and 13, on the following reasoning :</w:t>
      </w:r>
    </w:p>
    <w:p w:rsidR="00210F15" w:rsidRDefault="00210F15" w:rsidP="00210F15">
      <w:pPr>
        <w:ind w:left="720"/>
        <w:jc w:val="both"/>
      </w:pPr>
    </w:p>
    <w:p w:rsidR="00D743E5" w:rsidRDefault="00D743E5" w:rsidP="00210F15">
      <w:pPr>
        <w:ind w:left="720"/>
        <w:jc w:val="both"/>
      </w:pPr>
      <w:r>
        <w:t xml:space="preserve">"According to the Central Information Commission the solutions which have been supplied by the Board to the examiners are given in confidence and therefore, they are entitled to protection under Section 8(1)(e) of the RTI Act. Section 8(1)(e) does not protect confidential information and the claim of intellectual property has not made by the respondent No.2 anywhere. In the reply it is suggested that the suggested answers are published and sold in open market by the Board. Therefore, there can be no confidentiality about suggested answers. It is no where explained what is the difference between the suggested answers and the solutions. In our opinion, the orders of both Authorities in this respect also suffer from non- application of mind and therefore they are liable to be set aside. We find that the right given under the Right to Information Act has been dealt with by the Authorities under that Act in most casual manner without properly applying their minds to the material on record. In our opinion, therefore, information sought against queries Nos.3,5 and 13 could not have been denied by the Authorities to the petitioner. The principal defence of the </w:t>
      </w:r>
      <w:r>
        <w:lastRenderedPageBreak/>
        <w:t>respondent No.2 is that the information is confidential. Till the result of the examination is declared, the information sought by the petitioner has to be treated as confidential, but once the result is declared, in our opinion, that information cannot be treated as confidential. We were not shown anything which would even indicate that it is necessary to keep the information in relation to the examination which is over and the result is also declared as confidential."</w:t>
      </w:r>
    </w:p>
    <w:p w:rsidR="00210F15" w:rsidRDefault="00210F15" w:rsidP="00210F15">
      <w:pPr>
        <w:ind w:left="720"/>
        <w:jc w:val="both"/>
      </w:pPr>
    </w:p>
    <w:p w:rsidR="00210F15" w:rsidRDefault="00D743E5" w:rsidP="00D743E5">
      <w:pPr>
        <w:jc w:val="both"/>
      </w:pPr>
      <w:r>
        <w:t xml:space="preserve">7. The said order of the High Court is challenged in this appeal by special leave. The appellant submitted that it conducts the following examinations: </w:t>
      </w:r>
    </w:p>
    <w:p w:rsidR="00210F15" w:rsidRDefault="00210F15" w:rsidP="00D743E5">
      <w:pPr>
        <w:jc w:val="both"/>
      </w:pPr>
    </w:p>
    <w:p w:rsidR="00210F15" w:rsidRDefault="00210F15" w:rsidP="00210F15">
      <w:pPr>
        <w:ind w:left="720"/>
        <w:jc w:val="both"/>
      </w:pPr>
      <w:r>
        <w:rPr>
          <w:rFonts w:hint="eastAsia"/>
        </w:rPr>
        <w:t>“</w:t>
      </w:r>
      <w:r w:rsidR="00D743E5">
        <w:t xml:space="preserve">(i) the common proficiency test; </w:t>
      </w:r>
    </w:p>
    <w:p w:rsidR="00210F15" w:rsidRDefault="00210F15" w:rsidP="00210F15">
      <w:pPr>
        <w:ind w:left="720"/>
        <w:jc w:val="both"/>
      </w:pPr>
    </w:p>
    <w:p w:rsidR="00210F15" w:rsidRDefault="00D743E5" w:rsidP="00210F15">
      <w:pPr>
        <w:ind w:left="720"/>
        <w:jc w:val="both"/>
      </w:pPr>
      <w:r>
        <w:t xml:space="preserve">(ii) professional education examination-II (till May 2010); </w:t>
      </w:r>
    </w:p>
    <w:p w:rsidR="00210F15" w:rsidRDefault="00210F15" w:rsidP="00210F15">
      <w:pPr>
        <w:ind w:left="720"/>
        <w:jc w:val="both"/>
      </w:pPr>
    </w:p>
    <w:p w:rsidR="00D743E5" w:rsidRDefault="00D743E5" w:rsidP="00210F15">
      <w:pPr>
        <w:ind w:left="720"/>
        <w:jc w:val="both"/>
      </w:pPr>
      <w:r>
        <w:t>(iii) professional competence examination;</w:t>
      </w:r>
    </w:p>
    <w:p w:rsidR="00210F15" w:rsidRDefault="00210F15" w:rsidP="00D743E5">
      <w:pPr>
        <w:jc w:val="both"/>
      </w:pPr>
    </w:p>
    <w:p w:rsidR="00D743E5" w:rsidRDefault="00D743E5" w:rsidP="00210F15">
      <w:pPr>
        <w:ind w:left="720"/>
        <w:jc w:val="both"/>
      </w:pPr>
      <w:r>
        <w:t>(iv) integrated professional competence examination; (v) final examination; and (vi) post qualification course examinations. A person is enrolled as a Chartered Accountant only after passing the common proficiency test, professional educational examination-II/professional competence examination and final examination. The number of candidates who applied for various examinations conducted by ICAI were 2.03 lakhs in 2006, 4.16 lakhs in 2007; 3.97 lakh candidates in 2008 and 4.20 lakhs candidates in 2009. ICAI conducts the examinations in about 343 centres spread over 147 cities throughout the country and abroad. The appellant claims to follow the following elaborate system with established procedures in connection with its examinations, taking utmost care with regard to valuation of answer sheets and preparation of results and also in carrying out verification in case a student applies for the same in accordance with the following Regulations:</w:t>
      </w:r>
    </w:p>
    <w:p w:rsidR="00210F15" w:rsidRDefault="00210F15" w:rsidP="00210F15">
      <w:pPr>
        <w:ind w:left="720"/>
        <w:jc w:val="both"/>
      </w:pPr>
    </w:p>
    <w:p w:rsidR="00D743E5" w:rsidRDefault="00D743E5" w:rsidP="00210F15">
      <w:pPr>
        <w:ind w:left="720"/>
        <w:jc w:val="both"/>
      </w:pPr>
      <w:r>
        <w:t xml:space="preserve">"Chartered Accountants with a standing of minimum of 5-7 years in the profession or teachers with a minimum experience of 5-7 years in university education system are empanelled as examiners of the Institute. The eligibility criteria to be empanelled as examiner for the examinations held in November, 2010 was that a chartered accountant with a minimum of 3 years' standing, if in practice, or with a minimum of 10 yeas standing, if in service and University lecturers with a minimum of 5 years' teaching experience at graduate/post graduate level in the relevant subjects with examiner ship experience of 5 years. The said criteria is continued to be followed. The bio-data of such persons who wish to be empanelled are scrutinized by the Director of Studies of the Institute in the first instance. Thereafter, Examination Committee considers each such application and takes a decision thereon. The examiners, based on their performance and experience with the system of the ICAI, are invited to take up other assignments of preparation of question paper, suggested solution, marking scheme, etc. and also appointed as Head Examiners to supervise the evaluation carried out by the different examiners in a particular subject from time to </w:t>
      </w:r>
      <w:r>
        <w:lastRenderedPageBreak/>
        <w:t>time.</w:t>
      </w:r>
      <w:r w:rsidR="00210F15">
        <w:t xml:space="preserve"> </w:t>
      </w:r>
      <w:r>
        <w:t>A question paper and its solution are finalized by different experts in the concerned subject at 3 stages. In addition, the solution is also vetted by Director of Studies of the Institute after the examination is held and before the evaluation of the answer sheets are carried out by examiners. All possible alternate solutions to a particular question as intimated by different examiners in a subject are also included in the solution. Each examiner in a particular subject is issued detailed instructions on marking scheme by the Head Examiners and general guidelines for evaluation issued by the ICAI. In addition, performance of each examiner, to ascertain whether the said examiner has complied with the instructions issued as also the general guidelines of the Institute, is assessed by the Head Examiner at two stages before the declaration of result. The said process has been evolved based on the experience gained in the last 60 years of conducting examinations and to ensure all possible uniformity in evaluation of answer sheets carried out by numerous examiners in a particular subject and to provide justice to the candidates. The examination process/procedure/systems of the ICAI are well in place and have been evolved over several decades out of experience gained. The said process/procedure/systems have adequate checks to ensure fair results and also ensure that due justice is done to each candidate and no candidate ever suffers on any count."</w:t>
      </w:r>
    </w:p>
    <w:p w:rsidR="00210F15" w:rsidRDefault="00210F15" w:rsidP="00D743E5">
      <w:pPr>
        <w:jc w:val="both"/>
      </w:pPr>
    </w:p>
    <w:p w:rsidR="00D743E5" w:rsidRDefault="00D743E5" w:rsidP="00D743E5">
      <w:pPr>
        <w:jc w:val="both"/>
      </w:pPr>
      <w:r>
        <w:t>8. The appellant contends that the information sought as per queries (3) and (5) - that is, instructions and model answers, if any, issued to the examiners and moderators by ICAI cannot be disclosed as they are exempted from disclosure under clauses (d) and (e) of sub-section (1) ofSection 8 of RTI Act. It is submitted that the request for information is also liable to be rejected under section 9 of the Act. They also contended that in regard to query No.(13), whatever information available had been furnished, apart from generally invoking section 8(1)(e) to claim exemption.</w:t>
      </w:r>
    </w:p>
    <w:p w:rsidR="00210F15" w:rsidRDefault="00210F15" w:rsidP="00D743E5">
      <w:pPr>
        <w:jc w:val="both"/>
      </w:pPr>
    </w:p>
    <w:p w:rsidR="00D743E5" w:rsidRDefault="00D743E5" w:rsidP="00D743E5">
      <w:pPr>
        <w:jc w:val="both"/>
      </w:pPr>
      <w:r>
        <w:t>9. On the said contentions, the following questions arise for our consideration:</w:t>
      </w:r>
    </w:p>
    <w:p w:rsidR="00210F15" w:rsidRDefault="00210F15" w:rsidP="00D743E5">
      <w:pPr>
        <w:jc w:val="both"/>
      </w:pPr>
    </w:p>
    <w:p w:rsidR="00D743E5" w:rsidRDefault="00210F15" w:rsidP="00210F15">
      <w:pPr>
        <w:ind w:left="720"/>
        <w:jc w:val="both"/>
      </w:pPr>
      <w:r>
        <w:rPr>
          <w:rFonts w:hint="eastAsia"/>
        </w:rPr>
        <w:t>“</w:t>
      </w:r>
      <w:r w:rsidR="00D743E5">
        <w:t>(i) Whether the instructions and solutions to questions (if any) given by ICAI to examiners and moderators, are intellectual property of the ICAI, disclosure of which would harm the competitive position of third parties and therefore exempted under section 8(1)(d) of the RTI Act?</w:t>
      </w:r>
    </w:p>
    <w:p w:rsidR="00210F15" w:rsidRDefault="00210F15" w:rsidP="00210F15">
      <w:pPr>
        <w:ind w:left="720"/>
        <w:jc w:val="both"/>
      </w:pPr>
    </w:p>
    <w:p w:rsidR="00D743E5" w:rsidRDefault="00D743E5" w:rsidP="00210F15">
      <w:pPr>
        <w:ind w:left="720"/>
        <w:jc w:val="both"/>
      </w:pPr>
      <w:r>
        <w:t>(ii) Whether providing access to the information sought (that is instructions and solutions to questions issued by ICAI to examiners and moderators) would involve an infringement of the copyright and therefore the request for information is liable to be rejected under section 9 of the RTI Act?</w:t>
      </w:r>
    </w:p>
    <w:p w:rsidR="00210F15" w:rsidRDefault="00210F15" w:rsidP="00210F15">
      <w:pPr>
        <w:ind w:left="720"/>
        <w:jc w:val="both"/>
      </w:pPr>
    </w:p>
    <w:p w:rsidR="00D743E5" w:rsidRDefault="00D743E5" w:rsidP="00210F15">
      <w:pPr>
        <w:ind w:left="720"/>
        <w:jc w:val="both"/>
      </w:pPr>
      <w:r>
        <w:t>(iii) Whether the instructions and solutions to questions are information made available to examiners and moderators in their fiduciary capacity and therefore exempted under section 8(1)(e) of the RTI Act?</w:t>
      </w:r>
    </w:p>
    <w:p w:rsidR="00210F15" w:rsidRDefault="00210F15" w:rsidP="00210F15">
      <w:pPr>
        <w:ind w:left="720"/>
        <w:jc w:val="both"/>
      </w:pPr>
    </w:p>
    <w:p w:rsidR="00D743E5" w:rsidRDefault="00D743E5" w:rsidP="00210F15">
      <w:pPr>
        <w:ind w:left="720"/>
        <w:jc w:val="both"/>
      </w:pPr>
      <w:r>
        <w:lastRenderedPageBreak/>
        <w:t>(iv) Whether the High Court was justified in directing the appellant to furnish to the first respondent five items of information sought (in query No.13) relating to Regulation 39(2) of Chartered Accountants Regulations, 1988?</w:t>
      </w:r>
      <w:r w:rsidR="00210F15">
        <w:rPr>
          <w:rFonts w:hint="eastAsia"/>
        </w:rPr>
        <w:t>”</w:t>
      </w:r>
    </w:p>
    <w:p w:rsidR="00210F15" w:rsidRDefault="00210F15" w:rsidP="00D743E5">
      <w:pPr>
        <w:jc w:val="both"/>
      </w:pPr>
    </w:p>
    <w:p w:rsidR="00D743E5" w:rsidRDefault="00D743E5" w:rsidP="00D743E5">
      <w:pPr>
        <w:jc w:val="both"/>
      </w:pPr>
      <w:r>
        <w:t>Re: Question (i)</w:t>
      </w:r>
    </w:p>
    <w:p w:rsidR="00210F15" w:rsidRDefault="00210F15" w:rsidP="00D743E5">
      <w:pPr>
        <w:jc w:val="both"/>
      </w:pPr>
    </w:p>
    <w:p w:rsidR="00D743E5" w:rsidRDefault="00D743E5" w:rsidP="00D743E5">
      <w:pPr>
        <w:jc w:val="both"/>
      </w:pPr>
      <w:r>
        <w:t>10. The term `intellectual property' refers to a category of intangible rights protecting commercially valuable products of human intellect comprising primarily trade mark, copyright and patent right, as also trade secret rights, publicity rights, moral rights and rights against unfair competition (vide Black's Law Dictionary, 7th Edition, page 813). Question papers, instructions regarding evaluation and solutions to questions (or model answers) which are furnished to examiners and moderators in connection with evaluation of answer scripts, are literary works which are products of human intellect and therefore subject to a copyright. The paper setters and authors thereof (other than employees of ICAI), who are the first owners thereof are required to assign their copyright in regard to the question papers/solutions in favour of ICAI. We extract below the relevant standard communication sent by ICAI in that behalf:</w:t>
      </w:r>
    </w:p>
    <w:p w:rsidR="00210F15" w:rsidRDefault="00210F15" w:rsidP="00210F15">
      <w:pPr>
        <w:ind w:left="720"/>
        <w:jc w:val="both"/>
      </w:pPr>
    </w:p>
    <w:p w:rsidR="00D743E5" w:rsidRDefault="00D743E5" w:rsidP="00210F15">
      <w:pPr>
        <w:ind w:left="720"/>
        <w:jc w:val="both"/>
      </w:pPr>
      <w:r>
        <w:t>"The Council is anxious to prevent the unauthorized circulation of Question Papers set for the Chartered Accountants Examinations as well as the solutions thereto. With that object in view, the Council proposes to reserve all copy-rights in the question papers as well as solutions. In order to enable the Council to retain the copy-rights, it has been suggested that it would be advisable to obtain a specific assignment of any copy-rights or rights of publication that you may be deemed to possess in the questions set by you for the Chartered Accountants Examinations and the solutions thereto in favour of the Council. I have no doubt that you will appreciate that this is merely a formality to obviate any misconception likely to arise later on."</w:t>
      </w:r>
    </w:p>
    <w:p w:rsidR="00210F15" w:rsidRDefault="00210F15" w:rsidP="00D743E5">
      <w:pPr>
        <w:jc w:val="both"/>
      </w:pPr>
    </w:p>
    <w:p w:rsidR="00D743E5" w:rsidRDefault="00D743E5" w:rsidP="00D743E5">
      <w:pPr>
        <w:jc w:val="both"/>
      </w:pPr>
      <w:r>
        <w:t>In response to it, the paper setters/authors give declarations of assignment, assigning their copyrights in the question papers and solutions prepared by them, in favour of ICAI. Insofar as instructions prepared by the employees of ICAI, the copyright vests in ICAI. Consequently, the question papers, solutions to questions and instructions are the intellectual properties of ICAI.The appellant contended that if the question papers, instructions or solutions to questions/model answers are disclosed before the examination is held, it would harm the competitive position of all other candidates who participate in the examination and therefore the exemption undersection 8(1)(d) is squarely attracted.</w:t>
      </w:r>
    </w:p>
    <w:p w:rsidR="00210F15" w:rsidRDefault="00210F15" w:rsidP="00D743E5">
      <w:pPr>
        <w:jc w:val="both"/>
      </w:pPr>
    </w:p>
    <w:p w:rsidR="00D743E5" w:rsidRDefault="00D743E5" w:rsidP="00D743E5">
      <w:pPr>
        <w:jc w:val="both"/>
      </w:pPr>
      <w:r>
        <w:t xml:space="preserve">11. The first respondent does not dispute that the appellant is entitled to claim a copyright in regard to the question papers, solutions/model answers, instructions relating to evaluation and therefore the said material constitute intellectual property of the appellant. But he contends that the exemption under section 8(1)(d) will not be available if the information is merely an intellectual property. The exemption under section 8(1)(d) is available only in regard to such intellectual property, the disclosure of which would harm the competitive position of any third party. It was submitted that the appellant has not been able to </w:t>
      </w:r>
      <w:r>
        <w:lastRenderedPageBreak/>
        <w:t>demonstrate that the disclosure of the said intellectual property (instructions and solutions/model answers) would harm the competitive position of any third party.</w:t>
      </w:r>
    </w:p>
    <w:p w:rsidR="00210F15" w:rsidRDefault="00210F15" w:rsidP="00D743E5">
      <w:pPr>
        <w:jc w:val="both"/>
      </w:pPr>
    </w:p>
    <w:p w:rsidR="00D743E5" w:rsidRDefault="00D743E5" w:rsidP="00D743E5">
      <w:pPr>
        <w:jc w:val="both"/>
      </w:pPr>
      <w:r>
        <w:t>12. Information can be sought under the RTI Act at different stages or different points of time. What is exempted from disclosure at one point of time may cease to be exempted at a later point of time, depending upon the nature of exemption. For example, any information which is exempted from disclosure under section 8, is liable to be disclosed if the application is made in regard to the occurrence or event which took place or occurred or happened twenty years prior to the date of the request, vide section 8(3) of the RTI Act. In other words, information which was exempted from disclosure, if an application is made within twenty years of the occurrence, may not be exempted if the application is made after twenty years. Similarly, if information relating to the intellectual property, that is the question papers, solutions/model answers and instructions, in regard to any particular examination conducted by the appellant cannot be disclosed before the examination is held, as it would harm the competitive position of innumerable third parties who are taking the said examination. Therefore it is obvious that the appellant examining body is not liable to give to any citizen any information relating to question papers, solutions/model answers and instructions relating to a particular examination before the date of such examination. But the position will be different once the examination is held. Disclosure of the question papers, model answers and instructions in regard to any particular examination, would not harm the competitive position of any third party once the examination is held. In fact the question papers are disclosed to everyone at the time of examination. The appellant voluntarily publishes the "suggested answers" in regard to the question papers in the form of a book for sale every year, after the examination. Therefore section 8(1)(d) of the RTI Act does not bar or prohibit the disclosure of question papers, model answers (solutions to questions) and instructions if any given to the examiners and moderators after the examination and after the evaluation of answerscripts is completed, as at that stage they will not harm the competitive position of any third party. We therefore reject the contention of the appellant that if an information is exempt at any given point of time, it continues to be exempt for all time to come.</w:t>
      </w:r>
    </w:p>
    <w:p w:rsidR="00210F15" w:rsidRDefault="00210F15" w:rsidP="00D743E5">
      <w:pPr>
        <w:jc w:val="both"/>
      </w:pPr>
    </w:p>
    <w:p w:rsidR="00D743E5" w:rsidRPr="00210F15" w:rsidRDefault="00D743E5" w:rsidP="00D743E5">
      <w:pPr>
        <w:jc w:val="both"/>
        <w:rPr>
          <w:b/>
        </w:rPr>
      </w:pPr>
      <w:r w:rsidRPr="00210F15">
        <w:rPr>
          <w:b/>
        </w:rPr>
        <w:t>Re : Question (ii)</w:t>
      </w:r>
    </w:p>
    <w:p w:rsidR="00210F15" w:rsidRDefault="00210F15" w:rsidP="00D743E5">
      <w:pPr>
        <w:jc w:val="both"/>
      </w:pPr>
    </w:p>
    <w:p w:rsidR="00D743E5" w:rsidRDefault="00D743E5" w:rsidP="00D743E5">
      <w:pPr>
        <w:jc w:val="both"/>
      </w:pPr>
      <w:r>
        <w:t xml:space="preserve">13. Section 9 of the RTI Act provides that a Central or State Public Information Officer may reject a request for information where providing access to such information would involve an infringement of copyright subsisting in a person other than the State. The word `State' used insection 9 of RTI Act refers to the Central or State Government, Parliament or Legislature of a State, or any local or other authorities as described under Article 12 of the Constitution. The reason for using the word `State' and not `public authority' in section 9 of RTI Act is apparently because the definition of `public authority' in the Act is wider than the definition of `State' inArticle 12, and includes even non-government organizations financed directly or indirectly by funds provided by the appropriate government. Be that as it may. An application for information would be rejected under section 9 of RTI Act, only if information sought involves an infringement of copyright subsisting in a person other than the State. ICAI being a statutory body created by the Chartered Accountants Act, 1948 is `State'. The information sought is a material in which ICAI claims a copyright. It is not the case of ICAI </w:t>
      </w:r>
      <w:r>
        <w:lastRenderedPageBreak/>
        <w:t>that anyone else has a copyright in such material. In fact it has specifically pleaded that even if the question papers, solutions/model answers, or other instructions are prepared by any third party for ICAI, the copyright therein is assigned in favour of ICAI. Providing access to information in respect of which ICAI holds a copyright, does not involve infringement of a copyright subsisting in a person other than the State. Therefore ICAI is not entitled to claim protection against disclosure under section 9 of the RTI Act.</w:t>
      </w:r>
    </w:p>
    <w:p w:rsidR="00210F15" w:rsidRDefault="00210F15" w:rsidP="00D743E5">
      <w:pPr>
        <w:jc w:val="both"/>
      </w:pPr>
    </w:p>
    <w:p w:rsidR="00D743E5" w:rsidRDefault="00D743E5" w:rsidP="00D743E5">
      <w:pPr>
        <w:jc w:val="both"/>
      </w:pPr>
      <w:r>
        <w:t xml:space="preserve">14. There is yet another reason why section 9 of RTI Act will be inapplicable. The words `infringement of copyright' have a specific connotation. Section 51 of the Copyright Act, 1957 provides when a  </w:t>
      </w:r>
      <w:r w:rsidR="00210F15">
        <w:t xml:space="preserve"> </w:t>
      </w:r>
      <w:r>
        <w:t xml:space="preserve"> copyright in a work shall be deemed to be infringed. Section 52 of the Act enumerates the acts which are not infringement of a copyright. A combined reading of sections 51and 52(1)(a) of Copyright Act shows that furnishing of information by an examining body, in response to a query under the RTI Act may not be termed as an infringement of copyright. Be that as it may. Re : Question (iii)</w:t>
      </w:r>
    </w:p>
    <w:p w:rsidR="00210F15" w:rsidRDefault="00210F15" w:rsidP="00D743E5">
      <w:pPr>
        <w:jc w:val="both"/>
      </w:pPr>
    </w:p>
    <w:p w:rsidR="00D743E5" w:rsidRDefault="00D743E5" w:rsidP="00D743E5">
      <w:pPr>
        <w:jc w:val="both"/>
      </w:pPr>
      <w:r>
        <w:t>15. We will now consider the third contention of ICAI that the information sought being an information available to a person in his fiduciary relationship, is exempted under section 8(1)(e)of the RTI Act. This Court in Central Board of Secondary Education &amp; Anr. v. Aditya Bandopadhyay &amp; Ors. [2011 (8) SCALE 645] considered the meaning of the words information available to a person in his fiduciary capacity and observed thus:</w:t>
      </w:r>
    </w:p>
    <w:p w:rsidR="00210F15" w:rsidRDefault="00210F15" w:rsidP="00D743E5">
      <w:pPr>
        <w:jc w:val="both"/>
      </w:pPr>
    </w:p>
    <w:p w:rsidR="00D743E5" w:rsidRDefault="00D743E5" w:rsidP="00210F15">
      <w:pPr>
        <w:ind w:left="720"/>
        <w:jc w:val="both"/>
      </w:pPr>
      <w:r>
        <w:t xml:space="preserve">"But the words `information available to a person in his fiduciary relationship' are used in section 8(1)(e) of RTI Act in its normal and well recognized sense, that is to refer to persons who act in a fiduciary capacity, with reference to a specific beneficiary or beneficiaries who are to be expected to be protected or benefited by the actions of the fiduciary - a trustee with reference to the beneficiary of the trust, a guardian with reference to a minor/physically/infirm/mentally challenged, a parent with reference to a child, a lawyer or a chartered accountant with reference to a client, a doctor or nurse with reference to a patient, an agent with reference to a principal, a partner with reference to another partner, a director of a company with reference to a share-holder, an executor with reference to a legatee, a receiver with reference to the parties to a lis, an employer with reference to the confidential information relating to the  </w:t>
      </w:r>
      <w:r w:rsidR="00210F15">
        <w:t xml:space="preserve"> </w:t>
      </w:r>
      <w:r>
        <w:t>employee, and an employee with reference to business dealings/transaction of the employer."</w:t>
      </w:r>
    </w:p>
    <w:p w:rsidR="00210F15" w:rsidRDefault="00210F15" w:rsidP="00D743E5">
      <w:pPr>
        <w:jc w:val="both"/>
      </w:pPr>
    </w:p>
    <w:p w:rsidR="00D743E5" w:rsidRDefault="00D743E5" w:rsidP="00D743E5">
      <w:pPr>
        <w:jc w:val="both"/>
      </w:pPr>
      <w:r>
        <w:t xml:space="preserve">16. The instructions and `solutions to questions' issued to the examiners and moderators in connection with evaluation of answer scripts, as noticed above, is the intellectual property of ICAI. These are made available by ICAI to the examiners and moderators to enable them to evaluate the answer scripts correctly and effectively, in a proper manner, to achieve uniformity and consistency in evaluation, as a large number of evaluators and moderators are engaged by ICAI in connection with the evaluation. The instructions and solutions to questions are given by the ICAI to the examiners and moderators to be held in confidence. The examiners and moderators are required to maintain absolute secrecy and cannot disclose the answer scripts, the evaluation of answer scripts, the instructions of ICAI and the solutions to questions made available by ICAI, to anyone. The examiners and moderators are in the </w:t>
      </w:r>
      <w:r>
        <w:lastRenderedPageBreak/>
        <w:t>position of agents and ICAI is in the position of principal in regard to such information which ICAI gives to the examiners and moderators to achieve uniformity, consistency and exactness of evaluation of the answer scripts. When anything is given and taken in trust or in confidence, requiring or expecting secrecy and confidentiality to be maintained in that behalf, it is held by the recipient in a fiduciary relationship.</w:t>
      </w:r>
    </w:p>
    <w:p w:rsidR="00210F15" w:rsidRDefault="00210F15" w:rsidP="00D743E5">
      <w:pPr>
        <w:jc w:val="both"/>
      </w:pPr>
    </w:p>
    <w:p w:rsidR="00D743E5" w:rsidRDefault="00D743E5" w:rsidP="00D743E5">
      <w:pPr>
        <w:jc w:val="both"/>
      </w:pPr>
      <w:r>
        <w:t>17. It should be noted that section 8(1)(e) uses the words "information available to a person in his fiduciary relationship. Significantly section 8(1)(e) does not use the words "information available to a public authority in its fiduciary relationship". The use of the words "person" shows that the holder of the information in a fiduciary relationship need not only be a `public authority' as the word `person' is of much wider import than the word `public authority'. Therefore the exemption under section 8(1)(e) is available not only in regard to information that is held by a public authority (in this case the examining body) in a fiduciary capacity, but also to any information that is given or made available by a public authority to anyone else for being held in a fiduciary relationship. In other words, anything given and taken in confidence expecting confidentiality to be maintained will be information available to a person in fiduciary relationship. As a consequence, it has to be held that the instructions and solutions to questions communicated by the examining body to the examiners, head-examiners and moderators, are information available to such persons in their fiduciary relationship and therefore exempted from disclosure undersection 8(1)(d) of RTI Act.</w:t>
      </w:r>
    </w:p>
    <w:p w:rsidR="00210F15" w:rsidRDefault="00210F15" w:rsidP="00D743E5">
      <w:pPr>
        <w:jc w:val="both"/>
      </w:pPr>
    </w:p>
    <w:p w:rsidR="00210F15" w:rsidRDefault="00D743E5" w:rsidP="00D743E5">
      <w:pPr>
        <w:jc w:val="both"/>
      </w:pPr>
      <w:r>
        <w:t xml:space="preserve">18. The information to which RTI Act applies falls into two categories, namely, (i) information which promotes transparency and accountability in the working of every public authority, disclosure of which helps in containing or discouraging corruption, enumerated in clauses (b) and (c) of section 4(1) of RTI Act; and (ii) other information held by public authorities not falling under section 4(1)(b) and (c) of RTI Act. In regard to information falling under the first category, the public authorities owe a duty to disseminate the information widely suo moto to the public so as to make it easily accessible to the public. In regard to information enumerated or required to be enumerated under section 4(1)(b) and (c) of RTI Act, necessarily and naturally, the competent authorities under the RTI Act, will have to act in a pro-active manner so as to ensure accountability and ensure that the fight against corruption goes on relentlessly. But in regard to other information which do not fall under Section 4(1)(b) and (c) of the Act, there is a need to proceed with circumspection as it is necessary to find out whether they are exempted from disclosure. One of the objects of democracy is to bring about transparency of information to contain corruption and bring about accountability. But achieving this object does not mean that other equally important public interests including efficient functioning of the governments and public authorities, optimum use of limited fiscal resources, preservation of confidentiality of sensitive information, etc. are to be ignored or sacrificed. The object of RTI Act is to harmonize the conflicting public interests, that is, ensuring transparency to bring in accountability and containing corruption on the one hand, and at the same time ensure that the revelation of information, in actual practice, does not harm or adversely affect other public interests which include efficient functioning of the governments, optimum use of limited fiscal resources and preservation of confidentiality of sensitive information, on the other hand. While sections 3 </w:t>
      </w:r>
      <w:r>
        <w:lastRenderedPageBreak/>
        <w:t xml:space="preserve">and 4seek to achieve the first objective, sections 8, 9, 10 and 11 seek to achieve the second objective. Therefore when section 8 exempts certain information from being disclosed, it should not be considered to be a fetter on the right to information, but as an equally important provision protecting other public interests essential for the fulfilment and preservation of democratic ideals. Therefore in dealing with information not falling under section 4(1)(b) and (c), the competent authorities under the RTI Act will not read the exemptions in section 8 in a restrictive manner but in a practical manner so that the other public interests are preserved and the RTI Actattains a fine balance between its goal of attaining transparency of information and safeguarding the other public interests. </w:t>
      </w:r>
    </w:p>
    <w:p w:rsidR="00D743E5" w:rsidRDefault="00D743E5" w:rsidP="00D743E5">
      <w:pPr>
        <w:jc w:val="both"/>
      </w:pPr>
      <w:r>
        <w:t> </w:t>
      </w:r>
    </w:p>
    <w:p w:rsidR="00D743E5" w:rsidRDefault="00D743E5" w:rsidP="00D743E5">
      <w:pPr>
        <w:jc w:val="both"/>
      </w:pPr>
      <w:r>
        <w:t>19. Among the ten categories of information which are exempted from disclosure under section 8of RTI Act, six categories which are described in clauses (a), (b), (c), (f), (g) and (h) carry absolute exemption. Information enumerated in clauses (d), (e) and (j) on the other hand get only conditional exemption, that is the exemption is subject to the overriding power of the competent authority under the RTI Act in larger public interest, to direct disclosure of such information. The information referred to in clause (i) relates to an exemption for a specific period, with an obligation to make the said information public after such period. The information relating to intellectual property and the information available to persons in their fiduciary relationship, referred to in clauses (d) and (e) of section 8(1) do not enjoy absolute exemption. Though exempted, if the competent authority under the Act is satisfied that larger public interest warrants disclosure of such information, such information will have to be disclosed. It is needless to say that the competent authority will have to record reasons for holding that an exempted information should be disclosed in larger public interest.</w:t>
      </w:r>
    </w:p>
    <w:p w:rsidR="00210F15" w:rsidRDefault="00210F15" w:rsidP="00D743E5">
      <w:pPr>
        <w:jc w:val="both"/>
      </w:pPr>
    </w:p>
    <w:p w:rsidR="00D743E5" w:rsidRDefault="00D743E5" w:rsidP="00D743E5">
      <w:pPr>
        <w:jc w:val="both"/>
      </w:pPr>
      <w:r>
        <w:t>20. In this case the Chief Information Commissioner rightly held that the information sought under queries (3) and (5) were exempted under section 8(1)(e) and that there was no larger public interest requiring denial of the statutory exemption regarding such information. The High Court fell into an error in holding that the information sought under queries (3) and (5) was not exempted.</w:t>
      </w:r>
    </w:p>
    <w:p w:rsidR="00210F15" w:rsidRDefault="00210F15" w:rsidP="00D743E5">
      <w:pPr>
        <w:jc w:val="both"/>
      </w:pPr>
    </w:p>
    <w:p w:rsidR="00D743E5" w:rsidRDefault="00D743E5" w:rsidP="00D743E5">
      <w:pPr>
        <w:jc w:val="both"/>
      </w:pPr>
      <w:r>
        <w:t>Re : Question (iv)</w:t>
      </w:r>
    </w:p>
    <w:p w:rsidR="00210F15" w:rsidRDefault="00210F15" w:rsidP="00D743E5">
      <w:pPr>
        <w:jc w:val="both"/>
      </w:pPr>
    </w:p>
    <w:p w:rsidR="00D743E5" w:rsidRDefault="00D743E5" w:rsidP="00D743E5">
      <w:pPr>
        <w:jc w:val="both"/>
      </w:pPr>
      <w:r>
        <w:t>21. Query (13) of the first respondent required the appellant to disclose the following information: (i) The number of times ICAI had revised the marks of any candidate or any class of candidates under Regulation 39(2);</w:t>
      </w:r>
      <w:r w:rsidR="00210F15">
        <w:t xml:space="preserve"> </w:t>
      </w:r>
      <w:r>
        <w:t>(ii) the criteria used for exercising such discretion for revising the marks;</w:t>
      </w:r>
      <w:r w:rsidR="00210F15">
        <w:t xml:space="preserve"> </w:t>
      </w:r>
      <w:r>
        <w:t>(iii) the quantum of such revisions; (iv) the authority who decides the exercise of discretion to make such revision; and (v) the number of students (with particulars of quantum of revision) affected by such revision held in the last five examinations at all levels.</w:t>
      </w:r>
    </w:p>
    <w:p w:rsidR="00210F15" w:rsidRDefault="00210F15" w:rsidP="00D743E5">
      <w:pPr>
        <w:jc w:val="both"/>
      </w:pPr>
    </w:p>
    <w:p w:rsidR="00D743E5" w:rsidRDefault="00D743E5" w:rsidP="00D743E5">
      <w:pPr>
        <w:jc w:val="both"/>
      </w:pPr>
      <w:r>
        <w:t xml:space="preserve">22. Regulation 39(2) of the Chartered Accountants Regulations, 1988 provides that the council may in its discretion, revise the marks obtained by all candidates or a section of candidates in a particular paper or papers or in the aggregate, in such manner as may be necessary for maintaining its standards of pass percentage provided in the Regulations. Regulation 39(2) thus provides for what is known as `moderation', which is a necessary </w:t>
      </w:r>
      <w:r>
        <w:lastRenderedPageBreak/>
        <w:t xml:space="preserve">concomitant of evaluation process of answer scripts where a large number of examiners are engaged to evaluate a large number of answer scripts. This  </w:t>
      </w:r>
      <w:r w:rsidR="00210F15">
        <w:t xml:space="preserve"> </w:t>
      </w:r>
      <w:r>
        <w:t xml:space="preserve">Court explained the standard process of moderation in </w:t>
      </w:r>
      <w:r w:rsidRPr="00210F15">
        <w:rPr>
          <w:i/>
        </w:rPr>
        <w:t xml:space="preserve">Sanjay Singh v. U.P. Public Service Commission </w:t>
      </w:r>
      <w:r w:rsidR="00210F15" w:rsidRPr="00210F15">
        <w:rPr>
          <w:i/>
          <w:sz w:val="20"/>
          <w:szCs w:val="20"/>
          <w:vertAlign w:val="superscript"/>
        </w:rPr>
        <w:t>1</w:t>
      </w:r>
      <w:r w:rsidRPr="00210F15">
        <w:rPr>
          <w:i/>
        </w:rPr>
        <w:t>-  t</w:t>
      </w:r>
      <w:r>
        <w:t>hus:</w:t>
      </w:r>
    </w:p>
    <w:p w:rsidR="00210F15" w:rsidRDefault="00210F15" w:rsidP="00D743E5">
      <w:pPr>
        <w:jc w:val="both"/>
      </w:pPr>
    </w:p>
    <w:p w:rsidR="00D743E5" w:rsidRDefault="00D743E5" w:rsidP="00210F15">
      <w:pPr>
        <w:ind w:left="720"/>
        <w:jc w:val="both"/>
      </w:pPr>
      <w:r>
        <w:t>"When a large number of candidates appear for an examination, it is necessary to have uniformity and consistency in valuation of the answer- scripts. Where the number of candidates taking the examination are limited and only one examiner (preferably the paper-setter himself) evaluates the answer-scripts, it is to be assumed that there will be uniformity in the valuation. But where a large number of candidates take the examination, it will not be possible to get all the answer-scripts evaluated by the same examiner. It, therefore, becomes necessary to distribute the answer-scripts among several examiners for valuation with the paper-setter (or other senior person) acting as the Head Examiner. When more than one examiner evaluate the answer-scripts relating to a subject, the subjectivity of the respective examiner will creep into the marks awarded by him to the answer- scripts allotted to him for valuation. Each examiner will apply his own yardstick to assess the answer-scripts. Inevitably therefore, even when experienced examiners receive equal batches of answer scripts, there is difference in average marks and the range of marks awarded, thereby affecting the merit of individual candidates. This apart, there is 'Hawk- Dove' effect. Some examiners are liberal in valuation and tend to award more marks. Some examiners are strict and tend to give less marks. Some may be moderate and balanced in awarding marks. Even among those who are liberal or those who are strict, there may be variance in the degree of strictness or liberality. This means that if the same answer-script is given to different examiners, there is all likelihood of different marks being assigned. If a very well written answer-script goes to a strict examiner and a mediocre answer-script goes to a liberal examiner, the mediocre answer-script may be awarded more marks than the excellent answer-script. In other words, there is 'reduced valuation' by a strict examiner and 'enhanced valuation' by a liberal examiner. This is known as 'examiner variability' or 'Hawk-Dove effect'. Therefore, there is a need to evolve a procedure to ensure uniformity inter se the Examiners so that the effect of 'examiner subjectivity' or 'examiner variability' is minimised. The procedure adopted to reduce examiner subjectivity or variability is known as moderation. The classic method of moderation is as follows:</w:t>
      </w:r>
    </w:p>
    <w:p w:rsidR="00210F15" w:rsidRDefault="00210F15" w:rsidP="00210F15">
      <w:pPr>
        <w:ind w:left="720"/>
        <w:jc w:val="both"/>
      </w:pPr>
    </w:p>
    <w:p w:rsidR="00D743E5" w:rsidRDefault="00D743E5" w:rsidP="00210F15">
      <w:pPr>
        <w:ind w:left="720"/>
        <w:jc w:val="both"/>
      </w:pPr>
      <w:r>
        <w:t>xxx xxx xxx</w:t>
      </w:r>
    </w:p>
    <w:p w:rsidR="00210F15" w:rsidRDefault="00210F15" w:rsidP="00210F15">
      <w:pPr>
        <w:ind w:left="720"/>
        <w:jc w:val="both"/>
      </w:pPr>
    </w:p>
    <w:p w:rsidR="00D743E5" w:rsidRDefault="00D743E5" w:rsidP="00210F15">
      <w:pPr>
        <w:ind w:left="720"/>
        <w:jc w:val="both"/>
      </w:pPr>
      <w:r>
        <w:t xml:space="preserve">(ii) To achieve uniformity in valuation, where more than one examiner is involved, a meeting of the Head Examiner with all the examiners is held soon after the examination. They discuss thoroughly the question paper, the possible answers and the weightage to be given to various aspects of the answers. They also carry out a sample valuation in the light of their discussions. The sample valuation of scripts by each of them is reviewed by the Head Examiner and variations in assigning marks are further discussed. After such discussions, a consensus is arrived at in regard to the norms of valuation to be adopted. On that basis, the examiners are required to complete the valuation of answer scripts. But this by itself, does not bring about </w:t>
      </w:r>
      <w:r>
        <w:lastRenderedPageBreak/>
        <w:t>uniformity of assessment inter se the examiners. In spite of the norms agreed, many examiners tend to deviate from the expected or agreed norms, as their caution is overtaken by their propensity for strictness or liberality or eroticism or carelessness during the course of valuation. Therefore, certain further corrective steps become necessary.</w:t>
      </w:r>
    </w:p>
    <w:p w:rsidR="00210F15" w:rsidRDefault="00210F15" w:rsidP="00210F15">
      <w:pPr>
        <w:ind w:left="720"/>
        <w:jc w:val="both"/>
      </w:pPr>
    </w:p>
    <w:p w:rsidR="00D743E5" w:rsidRDefault="00D743E5" w:rsidP="00210F15">
      <w:pPr>
        <w:ind w:left="720"/>
        <w:jc w:val="both"/>
      </w:pPr>
      <w:r>
        <w:t>(iii) After the valuation is completed by the examiners, the Head Examiner conducts a random sample survey of the corrected answer scripts to verify whether the norms evolved in the meetings of examiner have actually been followed by the examiners...........</w:t>
      </w:r>
    </w:p>
    <w:p w:rsidR="00210F15" w:rsidRDefault="00210F15" w:rsidP="00210F15">
      <w:pPr>
        <w:ind w:left="720"/>
        <w:jc w:val="both"/>
      </w:pPr>
    </w:p>
    <w:p w:rsidR="00D743E5" w:rsidRDefault="00D743E5" w:rsidP="00210F15">
      <w:pPr>
        <w:ind w:left="720"/>
        <w:jc w:val="both"/>
      </w:pPr>
      <w:r>
        <w:t>(iv) After ascertaining or assessing the standards adopted by each examiner, the Head Examiner may confirm the award of marks without any change if the examiner has followed the agreed norms, or suggest upward or downward moderation, the quantum of moderation varying according to the degree of liberality or strictness in marking. In regard to the top level answer books revalued by the Head Examiner, his award of marks is accepted as final. As regards the other answer books below the top level, to achieve maximum measure of uniformity inter se the examiners, the awards are moderated as per the recommendations made by the Head Examiner.</w:t>
      </w:r>
    </w:p>
    <w:p w:rsidR="00210F15" w:rsidRDefault="00210F15" w:rsidP="00210F15">
      <w:pPr>
        <w:ind w:left="720"/>
        <w:jc w:val="both"/>
      </w:pPr>
    </w:p>
    <w:p w:rsidR="00D743E5" w:rsidRDefault="00D743E5" w:rsidP="00210F15">
      <w:pPr>
        <w:ind w:left="720"/>
        <w:jc w:val="both"/>
      </w:pPr>
      <w:r>
        <w:t>(v) If in the opinion of the Head Examiner there has been erratic or careless marking by any examiner, for which it is not feasible to have any standard moderation, the answer scripts valued by such examiner are revalued either by the Head Examiner or any other Examiner who is found to have followed the agreed norms.</w:t>
      </w:r>
    </w:p>
    <w:p w:rsidR="00210F15" w:rsidRDefault="00210F15" w:rsidP="00D743E5">
      <w:pPr>
        <w:jc w:val="both"/>
      </w:pPr>
    </w:p>
    <w:p w:rsidR="00D743E5" w:rsidRDefault="00D743E5" w:rsidP="00210F15">
      <w:pPr>
        <w:ind w:left="720"/>
        <w:jc w:val="both"/>
      </w:pPr>
      <w:r>
        <w:t>(vi) Where the number of candidates is very large and the examiners are numerous, it may be difficult for one Head Examiner to assess the work of all the Examiners. In such a situation, one more level of Examiners is introduced. For every ten or twenty examiners, there will be a Head Examiner who checks the random samples as above. The work of the Head Examiners, in turn, is checked by a Chief Examiner to ensure proper results.</w:t>
      </w:r>
      <w:r w:rsidR="00210F15">
        <w:t xml:space="preserve"> </w:t>
      </w:r>
      <w:r>
        <w:t xml:space="preserve">The above procedure of 'moderation' would bring in considerable uniformity and consistency. It should be noted that absolute uniformity or consistency in valuation is impossible to achieve where there are several examiners and the effort is only to achieve maximum uniformity."  </w:t>
      </w:r>
    </w:p>
    <w:p w:rsidR="00210F15" w:rsidRDefault="00210F15" w:rsidP="00D743E5">
      <w:pPr>
        <w:jc w:val="both"/>
      </w:pPr>
    </w:p>
    <w:p w:rsidR="00D743E5" w:rsidRDefault="00D743E5" w:rsidP="00210F15">
      <w:pPr>
        <w:ind w:left="720"/>
        <w:jc w:val="both"/>
      </w:pPr>
      <w:r>
        <w:t xml:space="preserve"> Each examining body will have its own standards of `moderation', drawn up with reference to its own experiences and the nature and scope of the examinations conducted by it. ICAI shall have to disclose the said standards of moderation followed by it, if it has drawn up the same, in response to part</w:t>
      </w:r>
      <w:r w:rsidR="00210F15">
        <w:t xml:space="preserve"> </w:t>
      </w:r>
      <w:r>
        <w:t>(ii) of first respondent's query (13).</w:t>
      </w:r>
    </w:p>
    <w:p w:rsidR="00210F15" w:rsidRDefault="00210F15" w:rsidP="00D743E5">
      <w:pPr>
        <w:jc w:val="both"/>
      </w:pPr>
    </w:p>
    <w:p w:rsidR="00D743E5" w:rsidRDefault="00D743E5" w:rsidP="00D743E5">
      <w:pPr>
        <w:jc w:val="both"/>
      </w:pPr>
      <w:r>
        <w:t xml:space="preserve">23. In its communication dated 22.2.2008, ICAI informed the first respondent that under Regulation 39(2), its Examining Committee had the authority to revise the marks based on the findings of the Head Examiners and any incidental information in its knowledge. This </w:t>
      </w:r>
      <w:r>
        <w:lastRenderedPageBreak/>
        <w:t>answers part (iv) of query (13) as to the authority which decides the exercise of the discretion to make the revision under Regulation 39(2).</w:t>
      </w:r>
    </w:p>
    <w:p w:rsidR="00210F15" w:rsidRDefault="00210F15" w:rsidP="00D743E5">
      <w:pPr>
        <w:jc w:val="both"/>
      </w:pPr>
    </w:p>
    <w:p w:rsidR="00D743E5" w:rsidRDefault="00D743E5" w:rsidP="00D743E5">
      <w:pPr>
        <w:jc w:val="both"/>
      </w:pPr>
      <w:r>
        <w:t>24. In regard to parts (i), (iii) and (v) of query (13), ICAI submits that such data is not maintained. Reliance is placed upon the following observations of this Court in Aditya Bandopadhyay:</w:t>
      </w:r>
    </w:p>
    <w:p w:rsidR="00210F15" w:rsidRDefault="00210F15" w:rsidP="00D743E5">
      <w:pPr>
        <w:jc w:val="both"/>
      </w:pPr>
    </w:p>
    <w:p w:rsidR="00D743E5" w:rsidRDefault="00D743E5" w:rsidP="00210F15">
      <w:pPr>
        <w:ind w:left="720"/>
        <w:jc w:val="both"/>
      </w:pPr>
      <w:r>
        <w:t>"The RTI Act provides access to all information that is available and existing. This is clear from a combined reading of section 3 and the definitions of `information' and `right to information' under clauses (f) and (j) of section 2 of the Act. If a public authority has any information in the form of data or analysed data, or abstracts, or statistics, an applicant may access such information, subject to the exemptions insection 8 of the Act. But where the information sought is not a part of the record of a public authority, and where such information is not required to be maintained under any law or the rules or regulations of the public authority, the Act does not cast an obligation upon the public aut</w:t>
      </w:r>
      <w:r w:rsidR="00210F15">
        <w:t>hority, to</w:t>
      </w:r>
      <w:r>
        <w:t xml:space="preserve"> collect or collate such non-available information and then furnish it to an applicant."</w:t>
      </w:r>
    </w:p>
    <w:p w:rsidR="00210F15" w:rsidRDefault="00210F15" w:rsidP="00210F15">
      <w:pPr>
        <w:ind w:left="720"/>
        <w:jc w:val="both"/>
      </w:pPr>
    </w:p>
    <w:p w:rsidR="00D743E5" w:rsidRDefault="00D743E5" w:rsidP="00210F15">
      <w:pPr>
        <w:jc w:val="both"/>
      </w:pPr>
      <w:r>
        <w:t>As the information sought under parts (i), (iii) and (v) of query (13) are not maintained and is not available in the form of data with the appellant in its records, ICAI is not bound to furnish the same.</w:t>
      </w:r>
    </w:p>
    <w:p w:rsidR="00210F15" w:rsidRDefault="00210F15" w:rsidP="00210F15">
      <w:pPr>
        <w:jc w:val="both"/>
      </w:pPr>
    </w:p>
    <w:p w:rsidR="00D743E5" w:rsidRDefault="00D743E5" w:rsidP="00210F15">
      <w:pPr>
        <w:jc w:val="both"/>
      </w:pPr>
      <w:r>
        <w:t>General submissions of ICAI</w:t>
      </w:r>
    </w:p>
    <w:p w:rsidR="00210F15" w:rsidRDefault="00210F15" w:rsidP="00210F15">
      <w:pPr>
        <w:ind w:left="720"/>
        <w:jc w:val="both"/>
      </w:pPr>
    </w:p>
    <w:p w:rsidR="00D743E5" w:rsidRDefault="00D743E5" w:rsidP="00D743E5">
      <w:pPr>
        <w:jc w:val="both"/>
      </w:pPr>
      <w:r>
        <w:t xml:space="preserve">25. The learned counsel of ICAI submitted that there are several hundred examining bodies in the country. With the aspirations of young citizens to secure seats in institutions of higher learning or to qualify for certain professions or to secure jobs, more and more persons participate in more and more examinations. It is quite common for an examining body to conduct examinations for lakhs of candidates that too more than once per year. Conducting examinations involving preparing the question papers, conducting the examinations at various centres all over the country, getting the answer scripts evaluated and declaring results, is an immense task for examining bodies, to be completed within fixed time schedules. If the examining bodies are required to frequently furnish various kinds of information as sought in this case to several applicants, it will add an enormous work load and their existing staff will not be able to cope up with the additional work involved in furnishing information under the RTI Act. It was submitted by ICAI that it conducts several examinations every year where more than four lakhs candidates participate; that out of them, about 15-16% are successful, which means that more than three and half lakhs of candidates are unsuccessful; that if even one percent at those unsuccessful candidates feel dissatisfied with the results and seek all types of unrelated information, the working of ICAI will come to a standstill. It was submitted that for every meaningful user of RTI Act, there are several abusers who will attempt to disrupt the functioning of the examining bodies by seeking huge quantity of information. ICAI submits that the application by the first respondent is a classic case of improper use of the Act, where a candidate who has failed in an examination and who does not even choose to take the subsequent examination has been engaging ICAI in a </w:t>
      </w:r>
      <w:r>
        <w:lastRenderedPageBreak/>
        <w:t>prolonged litigation by seeking a bundle of information none of which is relevant to decide whether his answer script was properly evaluated, nor have any bearing on accountability or reducing corruption. ICAI submits that there should be an effective control and screening of applications for information by the competent authorities under the Act. We do not agree that first respondent had indulged in improper use of RTI Act. His application is intended to bring about transparency and accountability in the functioning of ICAI. How far he is entitled to the information is a different issue. Examining bodies like ICAI should change their old mindsets and tune them to the new regime of disclosure of maximum information. Public authorities should realize that in an era of transparency, previous practices of unwarranted secrecy have no longer a place. Accountability and prevention of corruption is possible only through transparency. Attaining transparency no doubt would involve additional work with reference to maintaining records and furnishing information. Parliament has enacted the RTI Actproviding access to information, after great debate and deliberations by the Civil Society and the Parliament. In its wisdom, the Parliament has chosen to exempt only certain categories of information from disclosure and certain organizations from the applicability of the Act. As the examining bodies have not been exempted, and as the examination processes of examining bodies have not been exempted, the examining bodies will have to gear themselves to comply with the provisions of the RTI Act. Additional workload is not a defence. If there are practical insurmountable difficulties, it is open to the examining bodies to bring them to the notice of the government for consideration so that any changes to the Act can be deliberated upon. Be that as it may.</w:t>
      </w:r>
    </w:p>
    <w:p w:rsidR="00210F15" w:rsidRDefault="00210F15" w:rsidP="00D743E5">
      <w:pPr>
        <w:jc w:val="both"/>
      </w:pPr>
    </w:p>
    <w:p w:rsidR="00D743E5" w:rsidRDefault="00D743E5" w:rsidP="00D743E5">
      <w:pPr>
        <w:jc w:val="both"/>
      </w:pPr>
      <w:r>
        <w:t>26. We however agree that it is necessary to make a distinction in regard to information intended to bring transparency, to improve accountability and  to reduce corruption, falling under section 4(1)(b) and (c) and other information which may not have a bearing on accountability or reducing corruption. The competent authorities under the RTI Act will have to maintain a proper balance so that while achieving transparency, the demand for information does not reach unmanageable proportions affecting other public interests, which include efficient operation of public authorities and government, preservation of confidentiality of sensitive information and optimum use of limited fiscal resources.</w:t>
      </w:r>
    </w:p>
    <w:p w:rsidR="00210F15" w:rsidRDefault="00210F15" w:rsidP="00D743E5">
      <w:pPr>
        <w:jc w:val="both"/>
      </w:pPr>
    </w:p>
    <w:p w:rsidR="00D743E5" w:rsidRDefault="00D743E5" w:rsidP="00D743E5">
      <w:pPr>
        <w:jc w:val="both"/>
      </w:pPr>
      <w:r>
        <w:t>27. In view of the above, this appeal is allowed in part and the order of the High Court is set aside and the order of the CIC is restored, subject to one modification in regard to query (13): ICAI to disclose to the first respondent, the standard criteria, if any, relating to moderation, employed by it, for the purpose of making revisions under Regulation 39(2).</w:t>
      </w:r>
    </w:p>
    <w:p w:rsidR="00210F15" w:rsidRDefault="00210F15" w:rsidP="00D743E5">
      <w:pPr>
        <w:jc w:val="both"/>
      </w:pPr>
    </w:p>
    <w:p w:rsidR="00010AD1" w:rsidRDefault="00913D02" w:rsidP="00D743E5">
      <w:pPr>
        <w:jc w:val="both"/>
      </w:pPr>
      <w:r>
        <w:t>Judgment Referred.</w:t>
      </w:r>
    </w:p>
    <w:p w:rsidR="00913D02" w:rsidRDefault="00913D02" w:rsidP="00D743E5">
      <w:pPr>
        <w:jc w:val="both"/>
      </w:pPr>
    </w:p>
    <w:p w:rsidR="00913D02" w:rsidRPr="00913D02" w:rsidRDefault="00913D02" w:rsidP="00D743E5">
      <w:pPr>
        <w:jc w:val="both"/>
        <w:rPr>
          <w:i/>
          <w:sz w:val="20"/>
          <w:szCs w:val="20"/>
        </w:rPr>
      </w:pPr>
      <w:r w:rsidRPr="00913D02">
        <w:rPr>
          <w:i/>
          <w:sz w:val="20"/>
          <w:szCs w:val="20"/>
          <w:vertAlign w:val="superscript"/>
        </w:rPr>
        <w:t>1</w:t>
      </w:r>
      <w:r w:rsidRPr="00913D02">
        <w:rPr>
          <w:i/>
          <w:sz w:val="20"/>
          <w:szCs w:val="20"/>
        </w:rPr>
        <w:t>(2007) 3 SCC 0720</w:t>
      </w:r>
    </w:p>
    <w:sectPr w:rsidR="00913D02" w:rsidRPr="00913D02"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4F8B" w:rsidRDefault="00F14F8B" w:rsidP="005637F9">
      <w:r>
        <w:separator/>
      </w:r>
    </w:p>
  </w:endnote>
  <w:endnote w:type="continuationSeparator" w:id="1">
    <w:p w:rsidR="00F14F8B" w:rsidRDefault="00F14F8B"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AD0D63" w:rsidRPr="005637F9">
          <w:rPr>
            <w:sz w:val="20"/>
            <w:szCs w:val="20"/>
          </w:rPr>
          <w:fldChar w:fldCharType="begin"/>
        </w:r>
        <w:r w:rsidRPr="005637F9">
          <w:rPr>
            <w:sz w:val="20"/>
            <w:szCs w:val="20"/>
          </w:rPr>
          <w:instrText xml:space="preserve"> PAGE   \* MERGEFORMAT </w:instrText>
        </w:r>
        <w:r w:rsidR="00AD0D63" w:rsidRPr="005637F9">
          <w:rPr>
            <w:sz w:val="20"/>
            <w:szCs w:val="20"/>
          </w:rPr>
          <w:fldChar w:fldCharType="separate"/>
        </w:r>
        <w:r w:rsidR="00913D02">
          <w:rPr>
            <w:noProof/>
            <w:sz w:val="20"/>
            <w:szCs w:val="20"/>
          </w:rPr>
          <w:t>1</w:t>
        </w:r>
        <w:r w:rsidR="00AD0D63"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4F8B" w:rsidRDefault="00F14F8B" w:rsidP="005637F9">
      <w:r>
        <w:separator/>
      </w:r>
    </w:p>
  </w:footnote>
  <w:footnote w:type="continuationSeparator" w:id="1">
    <w:p w:rsidR="00F14F8B" w:rsidRDefault="00F14F8B"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10AD1"/>
    <w:rsid w:val="00093402"/>
    <w:rsid w:val="000C16DA"/>
    <w:rsid w:val="000D6F9C"/>
    <w:rsid w:val="0010547A"/>
    <w:rsid w:val="0013421A"/>
    <w:rsid w:val="00152817"/>
    <w:rsid w:val="0015409F"/>
    <w:rsid w:val="00175981"/>
    <w:rsid w:val="0019700B"/>
    <w:rsid w:val="001B5469"/>
    <w:rsid w:val="001E2BA9"/>
    <w:rsid w:val="001E59A1"/>
    <w:rsid w:val="00210F15"/>
    <w:rsid w:val="00234D24"/>
    <w:rsid w:val="00261701"/>
    <w:rsid w:val="0029648D"/>
    <w:rsid w:val="002C1FAD"/>
    <w:rsid w:val="002C4BFA"/>
    <w:rsid w:val="002E4F2B"/>
    <w:rsid w:val="003269C4"/>
    <w:rsid w:val="00366FBE"/>
    <w:rsid w:val="00376BD3"/>
    <w:rsid w:val="003845A0"/>
    <w:rsid w:val="003846AC"/>
    <w:rsid w:val="003B6E3E"/>
    <w:rsid w:val="003C5689"/>
    <w:rsid w:val="00414F07"/>
    <w:rsid w:val="00417518"/>
    <w:rsid w:val="00430CC3"/>
    <w:rsid w:val="00444555"/>
    <w:rsid w:val="00483710"/>
    <w:rsid w:val="00485FC5"/>
    <w:rsid w:val="004C0ACA"/>
    <w:rsid w:val="004D6B2F"/>
    <w:rsid w:val="004E036B"/>
    <w:rsid w:val="004F646A"/>
    <w:rsid w:val="00545364"/>
    <w:rsid w:val="00550BDA"/>
    <w:rsid w:val="005637F9"/>
    <w:rsid w:val="005C622F"/>
    <w:rsid w:val="00614861"/>
    <w:rsid w:val="006270BD"/>
    <w:rsid w:val="00656F37"/>
    <w:rsid w:val="006B69AB"/>
    <w:rsid w:val="00700A01"/>
    <w:rsid w:val="00716284"/>
    <w:rsid w:val="0074733F"/>
    <w:rsid w:val="0075133A"/>
    <w:rsid w:val="007710D5"/>
    <w:rsid w:val="00776D2C"/>
    <w:rsid w:val="007854C9"/>
    <w:rsid w:val="007A20AD"/>
    <w:rsid w:val="007B0363"/>
    <w:rsid w:val="007B1674"/>
    <w:rsid w:val="007C275C"/>
    <w:rsid w:val="007C389D"/>
    <w:rsid w:val="007F26EA"/>
    <w:rsid w:val="00820877"/>
    <w:rsid w:val="008525BD"/>
    <w:rsid w:val="00860507"/>
    <w:rsid w:val="00882340"/>
    <w:rsid w:val="008C6793"/>
    <w:rsid w:val="008C6837"/>
    <w:rsid w:val="008D443B"/>
    <w:rsid w:val="00902B0B"/>
    <w:rsid w:val="00913D02"/>
    <w:rsid w:val="009231D2"/>
    <w:rsid w:val="00A165A6"/>
    <w:rsid w:val="00A235A7"/>
    <w:rsid w:val="00A42A26"/>
    <w:rsid w:val="00A53CD9"/>
    <w:rsid w:val="00A5491C"/>
    <w:rsid w:val="00A64887"/>
    <w:rsid w:val="00A70E55"/>
    <w:rsid w:val="00AA2C4F"/>
    <w:rsid w:val="00AB2F6C"/>
    <w:rsid w:val="00AB7E2E"/>
    <w:rsid w:val="00AC0CBD"/>
    <w:rsid w:val="00AC674B"/>
    <w:rsid w:val="00AD0B47"/>
    <w:rsid w:val="00AD0D63"/>
    <w:rsid w:val="00AE7AB6"/>
    <w:rsid w:val="00B20A21"/>
    <w:rsid w:val="00B213D6"/>
    <w:rsid w:val="00B3538F"/>
    <w:rsid w:val="00B875C5"/>
    <w:rsid w:val="00BA5F32"/>
    <w:rsid w:val="00BB0884"/>
    <w:rsid w:val="00BB4AAB"/>
    <w:rsid w:val="00BD57DE"/>
    <w:rsid w:val="00C6279A"/>
    <w:rsid w:val="00C85284"/>
    <w:rsid w:val="00CB0A4E"/>
    <w:rsid w:val="00CF052E"/>
    <w:rsid w:val="00CF7139"/>
    <w:rsid w:val="00D57253"/>
    <w:rsid w:val="00D61577"/>
    <w:rsid w:val="00D73E1A"/>
    <w:rsid w:val="00D743E5"/>
    <w:rsid w:val="00DC2462"/>
    <w:rsid w:val="00DC6415"/>
    <w:rsid w:val="00E30DDC"/>
    <w:rsid w:val="00E35387"/>
    <w:rsid w:val="00E47464"/>
    <w:rsid w:val="00E837D2"/>
    <w:rsid w:val="00F06873"/>
    <w:rsid w:val="00F14F8B"/>
    <w:rsid w:val="00F50A1A"/>
    <w:rsid w:val="00FA1648"/>
    <w:rsid w:val="00FA40F3"/>
    <w:rsid w:val="00FB6235"/>
    <w:rsid w:val="00FD5B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semiHidden/>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298268666">
      <w:bodyDiv w:val="1"/>
      <w:marLeft w:val="0"/>
      <w:marRight w:val="0"/>
      <w:marTop w:val="0"/>
      <w:marBottom w:val="0"/>
      <w:divBdr>
        <w:top w:val="none" w:sz="0" w:space="0" w:color="auto"/>
        <w:left w:val="none" w:sz="0" w:space="0" w:color="auto"/>
        <w:bottom w:val="none" w:sz="0" w:space="0" w:color="auto"/>
        <w:right w:val="none" w:sz="0" w:space="0" w:color="auto"/>
      </w:divBdr>
      <w:divsChild>
        <w:div w:id="567958402">
          <w:marLeft w:val="0"/>
          <w:marRight w:val="0"/>
          <w:marTop w:val="0"/>
          <w:marBottom w:val="150"/>
          <w:divBdr>
            <w:top w:val="none" w:sz="0" w:space="0" w:color="auto"/>
            <w:left w:val="none" w:sz="0" w:space="0" w:color="auto"/>
            <w:bottom w:val="none" w:sz="0" w:space="0" w:color="auto"/>
            <w:right w:val="none" w:sz="0" w:space="0" w:color="auto"/>
          </w:divBdr>
        </w:div>
        <w:div w:id="482165639">
          <w:marLeft w:val="0"/>
          <w:marRight w:val="0"/>
          <w:marTop w:val="0"/>
          <w:marBottom w:val="75"/>
          <w:divBdr>
            <w:top w:val="none" w:sz="0" w:space="0" w:color="auto"/>
            <w:left w:val="none" w:sz="0" w:space="0" w:color="auto"/>
            <w:bottom w:val="none" w:sz="0" w:space="0" w:color="auto"/>
            <w:right w:val="none" w:sz="0" w:space="0" w:color="auto"/>
          </w:divBdr>
        </w:div>
        <w:div w:id="51992906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420218">
          <w:blockQuote w:val="1"/>
          <w:marLeft w:val="720"/>
          <w:marRight w:val="720"/>
          <w:marTop w:val="100"/>
          <w:marBottom w:val="100"/>
          <w:divBdr>
            <w:top w:val="none" w:sz="0" w:space="0" w:color="auto"/>
            <w:left w:val="none" w:sz="0" w:space="0" w:color="auto"/>
            <w:bottom w:val="none" w:sz="0" w:space="0" w:color="auto"/>
            <w:right w:val="none" w:sz="0" w:space="0" w:color="auto"/>
          </w:divBdr>
        </w:div>
        <w:div w:id="2310905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3395611">
          <w:blockQuote w:val="1"/>
          <w:marLeft w:val="720"/>
          <w:marRight w:val="720"/>
          <w:marTop w:val="100"/>
          <w:marBottom w:val="100"/>
          <w:divBdr>
            <w:top w:val="none" w:sz="0" w:space="0" w:color="auto"/>
            <w:left w:val="none" w:sz="0" w:space="0" w:color="auto"/>
            <w:bottom w:val="none" w:sz="0" w:space="0" w:color="auto"/>
            <w:right w:val="none" w:sz="0" w:space="0" w:color="auto"/>
          </w:divBdr>
        </w:div>
        <w:div w:id="1913657676">
          <w:blockQuote w:val="1"/>
          <w:marLeft w:val="720"/>
          <w:marRight w:val="720"/>
          <w:marTop w:val="100"/>
          <w:marBottom w:val="100"/>
          <w:divBdr>
            <w:top w:val="none" w:sz="0" w:space="0" w:color="auto"/>
            <w:left w:val="none" w:sz="0" w:space="0" w:color="auto"/>
            <w:bottom w:val="none" w:sz="0" w:space="0" w:color="auto"/>
            <w:right w:val="none" w:sz="0" w:space="0" w:color="auto"/>
          </w:divBdr>
        </w:div>
        <w:div w:id="29448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6668331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800146392">
      <w:bodyDiv w:val="1"/>
      <w:marLeft w:val="0"/>
      <w:marRight w:val="0"/>
      <w:marTop w:val="0"/>
      <w:marBottom w:val="0"/>
      <w:divBdr>
        <w:top w:val="none" w:sz="0" w:space="0" w:color="auto"/>
        <w:left w:val="none" w:sz="0" w:space="0" w:color="auto"/>
        <w:bottom w:val="none" w:sz="0" w:space="0" w:color="auto"/>
        <w:right w:val="none" w:sz="0" w:space="0" w:color="auto"/>
      </w:divBdr>
      <w:divsChild>
        <w:div w:id="1229151217">
          <w:marLeft w:val="0"/>
          <w:marRight w:val="0"/>
          <w:marTop w:val="0"/>
          <w:marBottom w:val="150"/>
          <w:divBdr>
            <w:top w:val="none" w:sz="0" w:space="0" w:color="auto"/>
            <w:left w:val="none" w:sz="0" w:space="0" w:color="auto"/>
            <w:bottom w:val="none" w:sz="0" w:space="0" w:color="auto"/>
            <w:right w:val="none" w:sz="0" w:space="0" w:color="auto"/>
          </w:divBdr>
        </w:div>
        <w:div w:id="1580990665">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 w:id="1424032704">
      <w:bodyDiv w:val="1"/>
      <w:marLeft w:val="0"/>
      <w:marRight w:val="0"/>
      <w:marTop w:val="0"/>
      <w:marBottom w:val="0"/>
      <w:divBdr>
        <w:top w:val="none" w:sz="0" w:space="0" w:color="auto"/>
        <w:left w:val="none" w:sz="0" w:space="0" w:color="auto"/>
        <w:bottom w:val="none" w:sz="0" w:space="0" w:color="auto"/>
        <w:right w:val="none" w:sz="0" w:space="0" w:color="auto"/>
      </w:divBdr>
      <w:divsChild>
        <w:div w:id="1313561093">
          <w:marLeft w:val="0"/>
          <w:marRight w:val="0"/>
          <w:marTop w:val="0"/>
          <w:marBottom w:val="150"/>
          <w:divBdr>
            <w:top w:val="none" w:sz="0" w:space="0" w:color="auto"/>
            <w:left w:val="none" w:sz="0" w:space="0" w:color="auto"/>
            <w:bottom w:val="none" w:sz="0" w:space="0" w:color="auto"/>
            <w:right w:val="none" w:sz="0" w:space="0" w:color="auto"/>
          </w:divBdr>
        </w:div>
        <w:div w:id="388770104">
          <w:marLeft w:val="0"/>
          <w:marRight w:val="0"/>
          <w:marTop w:val="0"/>
          <w:marBottom w:val="75"/>
          <w:divBdr>
            <w:top w:val="none" w:sz="0" w:space="0" w:color="auto"/>
            <w:left w:val="none" w:sz="0" w:space="0" w:color="auto"/>
            <w:bottom w:val="none" w:sz="0" w:space="0" w:color="auto"/>
            <w:right w:val="none" w:sz="0" w:space="0" w:color="auto"/>
          </w:divBdr>
        </w:div>
        <w:div w:id="1661301352">
          <w:blockQuote w:val="1"/>
          <w:marLeft w:val="720"/>
          <w:marRight w:val="720"/>
          <w:marTop w:val="100"/>
          <w:marBottom w:val="100"/>
          <w:divBdr>
            <w:top w:val="none" w:sz="0" w:space="0" w:color="auto"/>
            <w:left w:val="none" w:sz="0" w:space="0" w:color="auto"/>
            <w:bottom w:val="none" w:sz="0" w:space="0" w:color="auto"/>
            <w:right w:val="none" w:sz="0" w:space="0" w:color="auto"/>
          </w:divBdr>
        </w:div>
        <w:div w:id="578369467">
          <w:blockQuote w:val="1"/>
          <w:marLeft w:val="720"/>
          <w:marRight w:val="720"/>
          <w:marTop w:val="100"/>
          <w:marBottom w:val="100"/>
          <w:divBdr>
            <w:top w:val="none" w:sz="0" w:space="0" w:color="auto"/>
            <w:left w:val="none" w:sz="0" w:space="0" w:color="auto"/>
            <w:bottom w:val="none" w:sz="0" w:space="0" w:color="auto"/>
            <w:right w:val="none" w:sz="0" w:space="0" w:color="auto"/>
          </w:divBdr>
        </w:div>
        <w:div w:id="690884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7366920">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208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5453278">
          <w:blockQuote w:val="1"/>
          <w:marLeft w:val="720"/>
          <w:marRight w:val="720"/>
          <w:marTop w:val="100"/>
          <w:marBottom w:val="100"/>
          <w:divBdr>
            <w:top w:val="none" w:sz="0" w:space="0" w:color="auto"/>
            <w:left w:val="none" w:sz="0" w:space="0" w:color="auto"/>
            <w:bottom w:val="none" w:sz="0" w:space="0" w:color="auto"/>
            <w:right w:val="none" w:sz="0" w:space="0" w:color="auto"/>
          </w:divBdr>
        </w:div>
        <w:div w:id="1798336944">
          <w:blockQuote w:val="1"/>
          <w:marLeft w:val="720"/>
          <w:marRight w:val="720"/>
          <w:marTop w:val="100"/>
          <w:marBottom w:val="100"/>
          <w:divBdr>
            <w:top w:val="none" w:sz="0" w:space="0" w:color="auto"/>
            <w:left w:val="none" w:sz="0" w:space="0" w:color="auto"/>
            <w:bottom w:val="none" w:sz="0" w:space="0" w:color="auto"/>
            <w:right w:val="none" w:sz="0" w:space="0" w:color="auto"/>
          </w:divBdr>
        </w:div>
        <w:div w:id="3980929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2284983">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754463">
          <w:blockQuote w:val="1"/>
          <w:marLeft w:val="720"/>
          <w:marRight w:val="720"/>
          <w:marTop w:val="100"/>
          <w:marBottom w:val="100"/>
          <w:divBdr>
            <w:top w:val="none" w:sz="0" w:space="0" w:color="auto"/>
            <w:left w:val="none" w:sz="0" w:space="0" w:color="auto"/>
            <w:bottom w:val="none" w:sz="0" w:space="0" w:color="auto"/>
            <w:right w:val="none" w:sz="0" w:space="0" w:color="auto"/>
          </w:divBdr>
        </w:div>
        <w:div w:id="850147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19538891">
          <w:blockQuote w:val="1"/>
          <w:marLeft w:val="720"/>
          <w:marRight w:val="720"/>
          <w:marTop w:val="100"/>
          <w:marBottom w:val="100"/>
          <w:divBdr>
            <w:top w:val="none" w:sz="0" w:space="0" w:color="auto"/>
            <w:left w:val="none" w:sz="0" w:space="0" w:color="auto"/>
            <w:bottom w:val="none" w:sz="0" w:space="0" w:color="auto"/>
            <w:right w:val="none" w:sz="0" w:space="0" w:color="auto"/>
          </w:divBdr>
        </w:div>
        <w:div w:id="11391556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7420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0745409">
      <w:bodyDiv w:val="1"/>
      <w:marLeft w:val="0"/>
      <w:marRight w:val="0"/>
      <w:marTop w:val="0"/>
      <w:marBottom w:val="0"/>
      <w:divBdr>
        <w:top w:val="none" w:sz="0" w:space="0" w:color="auto"/>
        <w:left w:val="none" w:sz="0" w:space="0" w:color="auto"/>
        <w:bottom w:val="none" w:sz="0" w:space="0" w:color="auto"/>
        <w:right w:val="none" w:sz="0" w:space="0" w:color="auto"/>
      </w:divBdr>
      <w:divsChild>
        <w:div w:id="1199078502">
          <w:marLeft w:val="0"/>
          <w:marRight w:val="0"/>
          <w:marTop w:val="0"/>
          <w:marBottom w:val="150"/>
          <w:divBdr>
            <w:top w:val="none" w:sz="0" w:space="0" w:color="auto"/>
            <w:left w:val="none" w:sz="0" w:space="0" w:color="auto"/>
            <w:bottom w:val="none" w:sz="0" w:space="0" w:color="auto"/>
            <w:right w:val="none" w:sz="0" w:space="0" w:color="auto"/>
          </w:divBdr>
        </w:div>
        <w:div w:id="119110806">
          <w:marLeft w:val="0"/>
          <w:marRight w:val="0"/>
          <w:marTop w:val="0"/>
          <w:marBottom w:val="75"/>
          <w:divBdr>
            <w:top w:val="none" w:sz="0" w:space="0" w:color="auto"/>
            <w:left w:val="none" w:sz="0" w:space="0" w:color="auto"/>
            <w:bottom w:val="none" w:sz="0" w:space="0" w:color="auto"/>
            <w:right w:val="none" w:sz="0" w:space="0" w:color="auto"/>
          </w:divBdr>
        </w:div>
        <w:div w:id="11093978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4369252">
          <w:blockQuote w:val="1"/>
          <w:marLeft w:val="720"/>
          <w:marRight w:val="720"/>
          <w:marTop w:val="100"/>
          <w:marBottom w:val="100"/>
          <w:divBdr>
            <w:top w:val="none" w:sz="0" w:space="0" w:color="auto"/>
            <w:left w:val="none" w:sz="0" w:space="0" w:color="auto"/>
            <w:bottom w:val="none" w:sz="0" w:space="0" w:color="auto"/>
            <w:right w:val="none" w:sz="0" w:space="0" w:color="auto"/>
          </w:divBdr>
        </w:div>
        <w:div w:id="801923205">
          <w:blockQuote w:val="1"/>
          <w:marLeft w:val="720"/>
          <w:marRight w:val="720"/>
          <w:marTop w:val="100"/>
          <w:marBottom w:val="100"/>
          <w:divBdr>
            <w:top w:val="none" w:sz="0" w:space="0" w:color="auto"/>
            <w:left w:val="none" w:sz="0" w:space="0" w:color="auto"/>
            <w:bottom w:val="none" w:sz="0" w:space="0" w:color="auto"/>
            <w:right w:val="none" w:sz="0" w:space="0" w:color="auto"/>
          </w:divBdr>
        </w:div>
        <w:div w:id="2008290651">
          <w:blockQuote w:val="1"/>
          <w:marLeft w:val="720"/>
          <w:marRight w:val="720"/>
          <w:marTop w:val="100"/>
          <w:marBottom w:val="100"/>
          <w:divBdr>
            <w:top w:val="none" w:sz="0" w:space="0" w:color="auto"/>
            <w:left w:val="none" w:sz="0" w:space="0" w:color="auto"/>
            <w:bottom w:val="none" w:sz="0" w:space="0" w:color="auto"/>
            <w:right w:val="none" w:sz="0" w:space="0" w:color="auto"/>
          </w:divBdr>
        </w:div>
        <w:div w:id="1395854918">
          <w:blockQuote w:val="1"/>
          <w:marLeft w:val="720"/>
          <w:marRight w:val="720"/>
          <w:marTop w:val="100"/>
          <w:marBottom w:val="100"/>
          <w:divBdr>
            <w:top w:val="none" w:sz="0" w:space="0" w:color="auto"/>
            <w:left w:val="none" w:sz="0" w:space="0" w:color="auto"/>
            <w:bottom w:val="none" w:sz="0" w:space="0" w:color="auto"/>
            <w:right w:val="none" w:sz="0" w:space="0" w:color="auto"/>
          </w:divBdr>
        </w:div>
        <w:div w:id="545989802">
          <w:blockQuote w:val="1"/>
          <w:marLeft w:val="720"/>
          <w:marRight w:val="720"/>
          <w:marTop w:val="100"/>
          <w:marBottom w:val="100"/>
          <w:divBdr>
            <w:top w:val="none" w:sz="0" w:space="0" w:color="auto"/>
            <w:left w:val="none" w:sz="0" w:space="0" w:color="auto"/>
            <w:bottom w:val="none" w:sz="0" w:space="0" w:color="auto"/>
            <w:right w:val="none" w:sz="0" w:space="0" w:color="auto"/>
          </w:divBdr>
        </w:div>
        <w:div w:id="693725416">
          <w:blockQuote w:val="1"/>
          <w:marLeft w:val="720"/>
          <w:marRight w:val="720"/>
          <w:marTop w:val="100"/>
          <w:marBottom w:val="100"/>
          <w:divBdr>
            <w:top w:val="none" w:sz="0" w:space="0" w:color="auto"/>
            <w:left w:val="none" w:sz="0" w:space="0" w:color="auto"/>
            <w:bottom w:val="none" w:sz="0" w:space="0" w:color="auto"/>
            <w:right w:val="none" w:sz="0" w:space="0" w:color="auto"/>
          </w:divBdr>
        </w:div>
        <w:div w:id="880049435">
          <w:blockQuote w:val="1"/>
          <w:marLeft w:val="720"/>
          <w:marRight w:val="720"/>
          <w:marTop w:val="100"/>
          <w:marBottom w:val="100"/>
          <w:divBdr>
            <w:top w:val="none" w:sz="0" w:space="0" w:color="auto"/>
            <w:left w:val="none" w:sz="0" w:space="0" w:color="auto"/>
            <w:bottom w:val="none" w:sz="0" w:space="0" w:color="auto"/>
            <w:right w:val="none" w:sz="0" w:space="0" w:color="auto"/>
          </w:divBdr>
        </w:div>
        <w:div w:id="419714929">
          <w:blockQuote w:val="1"/>
          <w:marLeft w:val="720"/>
          <w:marRight w:val="720"/>
          <w:marTop w:val="100"/>
          <w:marBottom w:val="100"/>
          <w:divBdr>
            <w:top w:val="none" w:sz="0" w:space="0" w:color="auto"/>
            <w:left w:val="none" w:sz="0" w:space="0" w:color="auto"/>
            <w:bottom w:val="none" w:sz="0" w:space="0" w:color="auto"/>
            <w:right w:val="none" w:sz="0" w:space="0" w:color="auto"/>
          </w:divBdr>
        </w:div>
        <w:div w:id="94616002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6804009">
          <w:blockQuote w:val="1"/>
          <w:marLeft w:val="720"/>
          <w:marRight w:val="720"/>
          <w:marTop w:val="100"/>
          <w:marBottom w:val="100"/>
          <w:divBdr>
            <w:top w:val="none" w:sz="0" w:space="0" w:color="auto"/>
            <w:left w:val="none" w:sz="0" w:space="0" w:color="auto"/>
            <w:bottom w:val="none" w:sz="0" w:space="0" w:color="auto"/>
            <w:right w:val="none" w:sz="0" w:space="0" w:color="auto"/>
          </w:divBdr>
        </w:div>
        <w:div w:id="20895001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19990">
          <w:blockQuote w:val="1"/>
          <w:marLeft w:val="720"/>
          <w:marRight w:val="720"/>
          <w:marTop w:val="100"/>
          <w:marBottom w:val="100"/>
          <w:divBdr>
            <w:top w:val="none" w:sz="0" w:space="0" w:color="auto"/>
            <w:left w:val="none" w:sz="0" w:space="0" w:color="auto"/>
            <w:bottom w:val="none" w:sz="0" w:space="0" w:color="auto"/>
            <w:right w:val="none" w:sz="0" w:space="0" w:color="auto"/>
          </w:divBdr>
        </w:div>
        <w:div w:id="497117055">
          <w:blockQuote w:val="1"/>
          <w:marLeft w:val="720"/>
          <w:marRight w:val="720"/>
          <w:marTop w:val="100"/>
          <w:marBottom w:val="100"/>
          <w:divBdr>
            <w:top w:val="none" w:sz="0" w:space="0" w:color="auto"/>
            <w:left w:val="none" w:sz="0" w:space="0" w:color="auto"/>
            <w:bottom w:val="none" w:sz="0" w:space="0" w:color="auto"/>
            <w:right w:val="none" w:sz="0" w:space="0" w:color="auto"/>
          </w:divBdr>
        </w:div>
        <w:div w:id="501360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672162">
          <w:blockQuote w:val="1"/>
          <w:marLeft w:val="720"/>
          <w:marRight w:val="720"/>
          <w:marTop w:val="100"/>
          <w:marBottom w:val="100"/>
          <w:divBdr>
            <w:top w:val="none" w:sz="0" w:space="0" w:color="auto"/>
            <w:left w:val="none" w:sz="0" w:space="0" w:color="auto"/>
            <w:bottom w:val="none" w:sz="0" w:space="0" w:color="auto"/>
            <w:right w:val="none" w:sz="0" w:space="0" w:color="auto"/>
          </w:divBdr>
        </w:div>
        <w:div w:id="1836920170">
          <w:blockQuote w:val="1"/>
          <w:marLeft w:val="720"/>
          <w:marRight w:val="720"/>
          <w:marTop w:val="100"/>
          <w:marBottom w:val="100"/>
          <w:divBdr>
            <w:top w:val="none" w:sz="0" w:space="0" w:color="auto"/>
            <w:left w:val="none" w:sz="0" w:space="0" w:color="auto"/>
            <w:bottom w:val="none" w:sz="0" w:space="0" w:color="auto"/>
            <w:right w:val="none" w:sz="0" w:space="0" w:color="auto"/>
          </w:divBdr>
        </w:div>
        <w:div w:id="1197278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6580834">
          <w:blockQuote w:val="1"/>
          <w:marLeft w:val="720"/>
          <w:marRight w:val="720"/>
          <w:marTop w:val="100"/>
          <w:marBottom w:val="100"/>
          <w:divBdr>
            <w:top w:val="none" w:sz="0" w:space="0" w:color="auto"/>
            <w:left w:val="none" w:sz="0" w:space="0" w:color="auto"/>
            <w:bottom w:val="none" w:sz="0" w:space="0" w:color="auto"/>
            <w:right w:val="none" w:sz="0" w:space="0" w:color="auto"/>
          </w:divBdr>
        </w:div>
        <w:div w:id="597834479">
          <w:blockQuote w:val="1"/>
          <w:marLeft w:val="720"/>
          <w:marRight w:val="720"/>
          <w:marTop w:val="100"/>
          <w:marBottom w:val="100"/>
          <w:divBdr>
            <w:top w:val="none" w:sz="0" w:space="0" w:color="auto"/>
            <w:left w:val="none" w:sz="0" w:space="0" w:color="auto"/>
            <w:bottom w:val="none" w:sz="0" w:space="0" w:color="auto"/>
            <w:right w:val="none" w:sz="0" w:space="0" w:color="auto"/>
          </w:divBdr>
        </w:div>
        <w:div w:id="2133863228">
          <w:blockQuote w:val="1"/>
          <w:marLeft w:val="720"/>
          <w:marRight w:val="720"/>
          <w:marTop w:val="100"/>
          <w:marBottom w:val="100"/>
          <w:divBdr>
            <w:top w:val="none" w:sz="0" w:space="0" w:color="auto"/>
            <w:left w:val="none" w:sz="0" w:space="0" w:color="auto"/>
            <w:bottom w:val="none" w:sz="0" w:space="0" w:color="auto"/>
            <w:right w:val="none" w:sz="0" w:space="0" w:color="auto"/>
          </w:divBdr>
        </w:div>
        <w:div w:id="930745023">
          <w:blockQuote w:val="1"/>
          <w:marLeft w:val="720"/>
          <w:marRight w:val="720"/>
          <w:marTop w:val="100"/>
          <w:marBottom w:val="100"/>
          <w:divBdr>
            <w:top w:val="none" w:sz="0" w:space="0" w:color="auto"/>
            <w:left w:val="none" w:sz="0" w:space="0" w:color="auto"/>
            <w:bottom w:val="none" w:sz="0" w:space="0" w:color="auto"/>
            <w:right w:val="none" w:sz="0" w:space="0" w:color="auto"/>
          </w:divBdr>
        </w:div>
        <w:div w:id="9626157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76637746">
          <w:blockQuote w:val="1"/>
          <w:marLeft w:val="720"/>
          <w:marRight w:val="720"/>
          <w:marTop w:val="100"/>
          <w:marBottom w:val="100"/>
          <w:divBdr>
            <w:top w:val="none" w:sz="0" w:space="0" w:color="auto"/>
            <w:left w:val="none" w:sz="0" w:space="0" w:color="auto"/>
            <w:bottom w:val="none" w:sz="0" w:space="0" w:color="auto"/>
            <w:right w:val="none" w:sz="0" w:space="0" w:color="auto"/>
          </w:divBdr>
        </w:div>
        <w:div w:id="973678335">
          <w:blockQuote w:val="1"/>
          <w:marLeft w:val="720"/>
          <w:marRight w:val="720"/>
          <w:marTop w:val="100"/>
          <w:marBottom w:val="100"/>
          <w:divBdr>
            <w:top w:val="none" w:sz="0" w:space="0" w:color="auto"/>
            <w:left w:val="none" w:sz="0" w:space="0" w:color="auto"/>
            <w:bottom w:val="none" w:sz="0" w:space="0" w:color="auto"/>
            <w:right w:val="none" w:sz="0" w:space="0" w:color="auto"/>
          </w:divBdr>
        </w:div>
        <w:div w:id="634410194">
          <w:blockQuote w:val="1"/>
          <w:marLeft w:val="720"/>
          <w:marRight w:val="720"/>
          <w:marTop w:val="100"/>
          <w:marBottom w:val="100"/>
          <w:divBdr>
            <w:top w:val="none" w:sz="0" w:space="0" w:color="auto"/>
            <w:left w:val="none" w:sz="0" w:space="0" w:color="auto"/>
            <w:bottom w:val="none" w:sz="0" w:space="0" w:color="auto"/>
            <w:right w:val="none" w:sz="0" w:space="0" w:color="auto"/>
          </w:divBdr>
        </w:div>
        <w:div w:id="673532393">
          <w:blockQuote w:val="1"/>
          <w:marLeft w:val="720"/>
          <w:marRight w:val="720"/>
          <w:marTop w:val="100"/>
          <w:marBottom w:val="100"/>
          <w:divBdr>
            <w:top w:val="none" w:sz="0" w:space="0" w:color="auto"/>
            <w:left w:val="none" w:sz="0" w:space="0" w:color="auto"/>
            <w:bottom w:val="none" w:sz="0" w:space="0" w:color="auto"/>
            <w:right w:val="none" w:sz="0" w:space="0" w:color="auto"/>
          </w:divBdr>
        </w:div>
        <w:div w:id="435179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057050697">
          <w:blockQuote w:val="1"/>
          <w:marLeft w:val="720"/>
          <w:marRight w:val="720"/>
          <w:marTop w:val="100"/>
          <w:marBottom w:val="100"/>
          <w:divBdr>
            <w:top w:val="none" w:sz="0" w:space="0" w:color="auto"/>
            <w:left w:val="none" w:sz="0" w:space="0" w:color="auto"/>
            <w:bottom w:val="none" w:sz="0" w:space="0" w:color="auto"/>
            <w:right w:val="none" w:sz="0" w:space="0" w:color="auto"/>
          </w:divBdr>
        </w:div>
        <w:div w:id="806355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9536598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629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6910047">
          <w:blockQuote w:val="1"/>
          <w:marLeft w:val="720"/>
          <w:marRight w:val="720"/>
          <w:marTop w:val="100"/>
          <w:marBottom w:val="100"/>
          <w:divBdr>
            <w:top w:val="none" w:sz="0" w:space="0" w:color="auto"/>
            <w:left w:val="none" w:sz="0" w:space="0" w:color="auto"/>
            <w:bottom w:val="none" w:sz="0" w:space="0" w:color="auto"/>
            <w:right w:val="none" w:sz="0" w:space="0" w:color="auto"/>
          </w:divBdr>
        </w:div>
        <w:div w:id="364452191">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073910">
          <w:blockQuote w:val="1"/>
          <w:marLeft w:val="720"/>
          <w:marRight w:val="720"/>
          <w:marTop w:val="100"/>
          <w:marBottom w:val="100"/>
          <w:divBdr>
            <w:top w:val="none" w:sz="0" w:space="0" w:color="auto"/>
            <w:left w:val="none" w:sz="0" w:space="0" w:color="auto"/>
            <w:bottom w:val="none" w:sz="0" w:space="0" w:color="auto"/>
            <w:right w:val="none" w:sz="0" w:space="0" w:color="auto"/>
          </w:divBdr>
        </w:div>
        <w:div w:id="350423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710564">
          <w:blockQuote w:val="1"/>
          <w:marLeft w:val="720"/>
          <w:marRight w:val="720"/>
          <w:marTop w:val="100"/>
          <w:marBottom w:val="100"/>
          <w:divBdr>
            <w:top w:val="none" w:sz="0" w:space="0" w:color="auto"/>
            <w:left w:val="none" w:sz="0" w:space="0" w:color="auto"/>
            <w:bottom w:val="none" w:sz="0" w:space="0" w:color="auto"/>
            <w:right w:val="none" w:sz="0" w:space="0" w:color="auto"/>
          </w:divBdr>
        </w:div>
        <w:div w:id="812407715">
          <w:blockQuote w:val="1"/>
          <w:marLeft w:val="720"/>
          <w:marRight w:val="720"/>
          <w:marTop w:val="100"/>
          <w:marBottom w:val="100"/>
          <w:divBdr>
            <w:top w:val="none" w:sz="0" w:space="0" w:color="auto"/>
            <w:left w:val="none" w:sz="0" w:space="0" w:color="auto"/>
            <w:bottom w:val="none" w:sz="0" w:space="0" w:color="auto"/>
            <w:right w:val="none" w:sz="0" w:space="0" w:color="auto"/>
          </w:divBdr>
        </w:div>
        <w:div w:id="8422033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9142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3B0E56-2660-419A-AD53-57BF54A27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7078</Words>
  <Characters>40346</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2016-07-22T12:38:00Z</cp:lastPrinted>
  <dcterms:created xsi:type="dcterms:W3CDTF">2016-07-22T12:50:00Z</dcterms:created>
  <dcterms:modified xsi:type="dcterms:W3CDTF">2016-07-22T12:50:00Z</dcterms:modified>
</cp:coreProperties>
</file>