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BE8" w:rsidRPr="00662BE8" w:rsidRDefault="00662BE8" w:rsidP="00662BE8">
      <w:pPr>
        <w:jc w:val="both"/>
        <w:rPr>
          <w:szCs w:val="25"/>
        </w:rPr>
      </w:pPr>
    </w:p>
    <w:p w:rsidR="00662BE8" w:rsidRPr="00662BE8" w:rsidRDefault="00662BE8" w:rsidP="00612AF2">
      <w:pPr>
        <w:jc w:val="center"/>
        <w:rPr>
          <w:b/>
          <w:szCs w:val="25"/>
        </w:rPr>
      </w:pPr>
      <w:r w:rsidRPr="00662BE8">
        <w:rPr>
          <w:b/>
          <w:szCs w:val="25"/>
        </w:rPr>
        <w:t>SUPREME COURT OF INDIA</w:t>
      </w:r>
    </w:p>
    <w:p w:rsidR="00662BE8" w:rsidRDefault="00662BE8" w:rsidP="00612AF2">
      <w:pPr>
        <w:jc w:val="center"/>
        <w:rPr>
          <w:szCs w:val="25"/>
        </w:rPr>
      </w:pPr>
      <w:r w:rsidRPr="00662BE8">
        <w:rPr>
          <w:szCs w:val="25"/>
        </w:rPr>
        <w:t>Gajoo</w:t>
      </w:r>
    </w:p>
    <w:p w:rsidR="00662BE8" w:rsidRPr="00662BE8" w:rsidRDefault="00662BE8" w:rsidP="00612AF2">
      <w:pPr>
        <w:jc w:val="center"/>
        <w:rPr>
          <w:szCs w:val="25"/>
        </w:rPr>
      </w:pPr>
      <w:r>
        <w:rPr>
          <w:szCs w:val="25"/>
        </w:rPr>
        <w:t>V</w:t>
      </w:r>
      <w:r w:rsidRPr="00662BE8">
        <w:rPr>
          <w:szCs w:val="25"/>
        </w:rPr>
        <w:t>s</w:t>
      </w:r>
      <w:r>
        <w:rPr>
          <w:szCs w:val="25"/>
        </w:rPr>
        <w:t>.</w:t>
      </w:r>
    </w:p>
    <w:p w:rsidR="00662BE8" w:rsidRDefault="00662BE8" w:rsidP="00612AF2">
      <w:pPr>
        <w:jc w:val="center"/>
        <w:rPr>
          <w:szCs w:val="25"/>
        </w:rPr>
      </w:pPr>
      <w:r w:rsidRPr="00662BE8">
        <w:rPr>
          <w:szCs w:val="25"/>
        </w:rPr>
        <w:t>State of Uttarakhand</w:t>
      </w:r>
    </w:p>
    <w:p w:rsidR="00662BE8" w:rsidRPr="00662BE8" w:rsidRDefault="00662BE8" w:rsidP="00612AF2">
      <w:pPr>
        <w:jc w:val="center"/>
        <w:rPr>
          <w:szCs w:val="25"/>
        </w:rPr>
      </w:pPr>
      <w:r>
        <w:rPr>
          <w:szCs w:val="25"/>
        </w:rPr>
        <w:t xml:space="preserve">C.A.No.1856 of </w:t>
      </w:r>
      <w:r w:rsidRPr="00662BE8">
        <w:rPr>
          <w:szCs w:val="25"/>
        </w:rPr>
        <w:t>2009</w:t>
      </w:r>
    </w:p>
    <w:p w:rsidR="00662BE8" w:rsidRDefault="00662BE8" w:rsidP="00612AF2">
      <w:pPr>
        <w:jc w:val="center"/>
        <w:rPr>
          <w:szCs w:val="25"/>
        </w:rPr>
      </w:pPr>
      <w:r w:rsidRPr="00662BE8">
        <w:rPr>
          <w:szCs w:val="25"/>
        </w:rPr>
        <w:t>(Swatanter Kumar</w:t>
      </w:r>
      <w:r>
        <w:rPr>
          <w:szCs w:val="25"/>
        </w:rPr>
        <w:t xml:space="preserve"> and </w:t>
      </w:r>
      <w:r w:rsidRPr="00662BE8">
        <w:rPr>
          <w:szCs w:val="25"/>
        </w:rPr>
        <w:t>Fakkir Mohamed Ibrahim Kalifulla</w:t>
      </w:r>
      <w:r>
        <w:rPr>
          <w:szCs w:val="25"/>
        </w:rPr>
        <w:t>,JJ.</w:t>
      </w:r>
      <w:r w:rsidRPr="00662BE8">
        <w:rPr>
          <w:szCs w:val="25"/>
        </w:rPr>
        <w:t>)</w:t>
      </w:r>
    </w:p>
    <w:p w:rsidR="00662BE8" w:rsidRDefault="00662BE8" w:rsidP="00612AF2">
      <w:pPr>
        <w:jc w:val="center"/>
        <w:rPr>
          <w:szCs w:val="25"/>
        </w:rPr>
      </w:pPr>
      <w:r>
        <w:rPr>
          <w:szCs w:val="25"/>
        </w:rPr>
        <w:t>13.09.2012</w:t>
      </w:r>
    </w:p>
    <w:p w:rsidR="00662BE8" w:rsidRPr="00662BE8" w:rsidRDefault="00662BE8" w:rsidP="00612AF2">
      <w:pPr>
        <w:jc w:val="center"/>
        <w:rPr>
          <w:b/>
          <w:szCs w:val="25"/>
        </w:rPr>
      </w:pPr>
      <w:r w:rsidRPr="00662BE8">
        <w:rPr>
          <w:b/>
          <w:szCs w:val="25"/>
        </w:rPr>
        <w:t>JUDGMENT</w:t>
      </w:r>
    </w:p>
    <w:p w:rsidR="00662BE8" w:rsidRPr="00662BE8" w:rsidRDefault="00662BE8" w:rsidP="00662BE8">
      <w:pPr>
        <w:jc w:val="both"/>
        <w:rPr>
          <w:b/>
          <w:szCs w:val="25"/>
        </w:rPr>
      </w:pPr>
      <w:r w:rsidRPr="00662BE8">
        <w:rPr>
          <w:b/>
          <w:szCs w:val="25"/>
        </w:rPr>
        <w:t>Swatanter Kumar,J.</w:t>
      </w:r>
    </w:p>
    <w:p w:rsidR="00662BE8" w:rsidRPr="00662BE8" w:rsidRDefault="00662BE8" w:rsidP="00662BE8">
      <w:pPr>
        <w:jc w:val="both"/>
        <w:rPr>
          <w:szCs w:val="25"/>
        </w:rPr>
      </w:pPr>
      <w:r>
        <w:rPr>
          <w:szCs w:val="25"/>
        </w:rPr>
        <w:t>1.</w:t>
      </w:r>
      <w:r w:rsidRPr="00662BE8">
        <w:rPr>
          <w:szCs w:val="25"/>
        </w:rPr>
        <w:t xml:space="preserve"> The present appeal is directed against the judgment of the High Court of Uttarakhand at Nainital dated 7th April, 2008 passed in Criminal Appeal No. 757 of 2001.</w:t>
      </w:r>
    </w:p>
    <w:p w:rsidR="00662BE8" w:rsidRPr="00662BE8" w:rsidRDefault="00662BE8" w:rsidP="00662BE8">
      <w:pPr>
        <w:jc w:val="both"/>
        <w:rPr>
          <w:szCs w:val="25"/>
        </w:rPr>
      </w:pPr>
      <w:r>
        <w:rPr>
          <w:szCs w:val="25"/>
        </w:rPr>
        <w:t>2.</w:t>
      </w:r>
      <w:r w:rsidRPr="00662BE8">
        <w:rPr>
          <w:szCs w:val="25"/>
        </w:rPr>
        <w:t xml:space="preserve"> We may notice the facts giving rise to the present appeal which in any case fall within a narrow compass. One Smt. Taradevi, the deceased was married to one Gajaram. From this marriage, she had two children namely Rampal and Guddu (PW4). After the unfortunate death of her husband Gajaram, she used to live with her younger son Guddu. The elder son Rampal was married and had been living separately with his family though in the same village. Gajoo, the accused/appellant, is the brother-in-law of deceased Taradevi i.e. her husbands younger brother. He was also staying separate, though near the house of Taradevi. After the demise of her husband, there were some disputes regarding the division of property between the deceased, on the one hand, and her elder son, Rampal and brother-in-law, Gajoo on the other. The dispute was related to the agricultural land. It is stated that Gajoo and Rampal both did not want to give any land to Taradevi.</w:t>
      </w:r>
    </w:p>
    <w:p w:rsidR="00662BE8" w:rsidRPr="00662BE8" w:rsidRDefault="00662BE8" w:rsidP="00662BE8">
      <w:pPr>
        <w:jc w:val="both"/>
        <w:rPr>
          <w:szCs w:val="25"/>
        </w:rPr>
      </w:pPr>
      <w:r>
        <w:rPr>
          <w:szCs w:val="25"/>
        </w:rPr>
        <w:t>3.</w:t>
      </w:r>
      <w:r w:rsidRPr="00662BE8">
        <w:rPr>
          <w:szCs w:val="25"/>
        </w:rPr>
        <w:t xml:space="preserve"> On the night of 1st July, 1987, a Satyanarayan Katha had been organised by Chetu Ram at his house in the village Kotda Kalyanpur. A number of residents of the village had gone to attend the Katha. PW2, Asharam and PW3, Kewalram along with other people were returning back to their homes at midnight. On their way back both PW2 and PW3 heard moaning sounds when they reached near the house of Taradevi. PW2 and PW3 were carrying their torches and in the light of the torches they saw that accused Gajoo was armed with a Daranti, Ext. 2 with which he was hitting the deceased and accused Rampal had held her down, in the Aangan (courtyard) of her house. On being challenged, both these witnesses were threatened by Gajoo stating that they should go away from there. These two witnesses </w:t>
      </w:r>
      <w:r w:rsidRPr="00662BE8">
        <w:rPr>
          <w:szCs w:val="25"/>
        </w:rPr>
        <w:lastRenderedPageBreak/>
        <w:t xml:space="preserve">are stated to have neither raised any alarm nor disclosed the incident to anyone. The next morning, information of the incident was given by PW4 to his maternal uncle Bhadu Ram, who was examined as PW1. Upon receiving information, the matter was reported by PW1 to the police in the morning of 2nd July, 1987. PW1 had lodged the written report vide Ext. Ka-1 at Police Station, Sahaspur at about 10.30 in the morning. On the basis of Ext. Ka-1, the FIR, a </w:t>
      </w:r>
      <w:r>
        <w:rPr>
          <w:szCs w:val="25"/>
        </w:rPr>
        <w:t xml:space="preserve"> </w:t>
      </w:r>
      <w:r w:rsidRPr="00662BE8">
        <w:rPr>
          <w:szCs w:val="25"/>
        </w:rPr>
        <w:t>Check Report, Ext. Ka-16, was prepared. Sub-Inspector Brahma Singh, PW6 started investigation in the matter. He reached the place of incident and did Panchayatnama of the corpse of Taradevi. After performing autopsy on the body of the deceased, vide Ext. Ka-6, he noticed that there were wounds on the corpse and prepared a Report Ext. Ka-8. Then he sent the body for post-mortem examination to Dehradun. Blood stained soil, Ext-3 and plain soil samples, Ext-4 were collected from the spot, and a site plan, Ext. Ka-12 was prepared. Dr. U.K. Chopra of Doon Hospital on 3rd July, 1987 prepared the Post-Mortem Report, Ext. Ka-10 and found the following injuries on the body of the deceased;</w:t>
      </w:r>
    </w:p>
    <w:p w:rsidR="00662BE8" w:rsidRPr="00662BE8" w:rsidRDefault="00662BE8" w:rsidP="00662BE8">
      <w:pPr>
        <w:ind w:left="720"/>
        <w:jc w:val="both"/>
        <w:rPr>
          <w:szCs w:val="25"/>
        </w:rPr>
      </w:pPr>
      <w:r>
        <w:rPr>
          <w:szCs w:val="25"/>
        </w:rPr>
        <w:t>“(i)</w:t>
      </w:r>
      <w:r w:rsidRPr="00662BE8">
        <w:rPr>
          <w:szCs w:val="25"/>
        </w:rPr>
        <w:t xml:space="preserve"> Incised wound 4 cm x V2 cm muscle deep, 1 cm below the chin.</w:t>
      </w:r>
    </w:p>
    <w:p w:rsidR="00662BE8" w:rsidRPr="00662BE8" w:rsidRDefault="00662BE8" w:rsidP="00662BE8">
      <w:pPr>
        <w:ind w:left="720"/>
        <w:jc w:val="both"/>
        <w:rPr>
          <w:szCs w:val="25"/>
        </w:rPr>
      </w:pPr>
      <w:r>
        <w:rPr>
          <w:szCs w:val="25"/>
        </w:rPr>
        <w:t>(ii)</w:t>
      </w:r>
      <w:r w:rsidRPr="00662BE8">
        <w:rPr>
          <w:szCs w:val="25"/>
        </w:rPr>
        <w:t xml:space="preserve"> Incised wound 5 cm x 1 cm muscle deep, 2 cm below injury No.</w:t>
      </w:r>
    </w:p>
    <w:p w:rsidR="00662BE8" w:rsidRPr="00662BE8" w:rsidRDefault="00662BE8" w:rsidP="00662BE8">
      <w:pPr>
        <w:ind w:left="720"/>
        <w:jc w:val="both"/>
        <w:rPr>
          <w:szCs w:val="25"/>
        </w:rPr>
      </w:pPr>
      <w:r>
        <w:rPr>
          <w:szCs w:val="25"/>
        </w:rPr>
        <w:t>(iii)</w:t>
      </w:r>
      <w:r w:rsidRPr="00662BE8">
        <w:rPr>
          <w:szCs w:val="25"/>
        </w:rPr>
        <w:t xml:space="preserve"> Three abraded contusions in the middle of the neck, sizes 1.5 cm x 1 cm; 2 cm x 1</w:t>
      </w:r>
      <w:r>
        <w:rPr>
          <w:szCs w:val="25"/>
        </w:rPr>
        <w:t xml:space="preserve"> </w:t>
      </w:r>
      <w:r w:rsidRPr="00662BE8">
        <w:rPr>
          <w:szCs w:val="25"/>
        </w:rPr>
        <w:t>cm; 1.5 cm x 1 cm.</w:t>
      </w:r>
    </w:p>
    <w:p w:rsidR="00662BE8" w:rsidRPr="00662BE8" w:rsidRDefault="00662BE8" w:rsidP="00662BE8">
      <w:pPr>
        <w:ind w:left="720"/>
        <w:jc w:val="both"/>
        <w:rPr>
          <w:szCs w:val="25"/>
        </w:rPr>
      </w:pPr>
      <w:r>
        <w:rPr>
          <w:szCs w:val="25"/>
        </w:rPr>
        <w:t>(iv)</w:t>
      </w:r>
      <w:r w:rsidRPr="00662BE8">
        <w:rPr>
          <w:szCs w:val="25"/>
        </w:rPr>
        <w:t xml:space="preserve"> </w:t>
      </w:r>
      <w:r>
        <w:rPr>
          <w:szCs w:val="25"/>
        </w:rPr>
        <w:t xml:space="preserve"> </w:t>
      </w:r>
      <w:r w:rsidRPr="00662BE8">
        <w:rPr>
          <w:szCs w:val="25"/>
        </w:rPr>
        <w:t>Abrasion 3 cm x 2 cm on the back of the left elbow.</w:t>
      </w:r>
    </w:p>
    <w:p w:rsidR="00662BE8" w:rsidRPr="00662BE8" w:rsidRDefault="00662BE8" w:rsidP="00662BE8">
      <w:pPr>
        <w:ind w:left="720"/>
        <w:jc w:val="both"/>
        <w:rPr>
          <w:szCs w:val="25"/>
        </w:rPr>
      </w:pPr>
      <w:r>
        <w:rPr>
          <w:szCs w:val="25"/>
        </w:rPr>
        <w:t>(v)</w:t>
      </w:r>
      <w:r w:rsidRPr="00662BE8">
        <w:rPr>
          <w:szCs w:val="25"/>
        </w:rPr>
        <w:t xml:space="preserve"> Abrasion 3 cm x 2 cm on the back of the shoulder.</w:t>
      </w:r>
    </w:p>
    <w:p w:rsidR="00662BE8" w:rsidRPr="00662BE8" w:rsidRDefault="00662BE8" w:rsidP="00662BE8">
      <w:pPr>
        <w:ind w:left="720"/>
        <w:jc w:val="both"/>
        <w:rPr>
          <w:szCs w:val="25"/>
        </w:rPr>
      </w:pPr>
      <w:r>
        <w:rPr>
          <w:szCs w:val="25"/>
        </w:rPr>
        <w:t xml:space="preserve">(vi) </w:t>
      </w:r>
      <w:r w:rsidRPr="00662BE8">
        <w:rPr>
          <w:szCs w:val="25"/>
        </w:rPr>
        <w:t xml:space="preserve"> Abrasion 4 cm x 3 cm on the back of the right lumber region.</w:t>
      </w:r>
      <w:r>
        <w:rPr>
          <w:szCs w:val="25"/>
        </w:rPr>
        <w:t>”</w:t>
      </w:r>
    </w:p>
    <w:p w:rsidR="00662BE8" w:rsidRPr="00662BE8" w:rsidRDefault="00662BE8" w:rsidP="00662BE8">
      <w:pPr>
        <w:jc w:val="both"/>
        <w:rPr>
          <w:szCs w:val="25"/>
        </w:rPr>
      </w:pPr>
      <w:r>
        <w:rPr>
          <w:szCs w:val="25"/>
        </w:rPr>
        <w:t xml:space="preserve">4. </w:t>
      </w:r>
      <w:r w:rsidRPr="00662BE8">
        <w:rPr>
          <w:szCs w:val="25"/>
        </w:rPr>
        <w:t xml:space="preserve"> Dr. Chopra in his report Ext. Ka-10 also recorded the following findings:On internal examination, under injury No. (iii) sub cutaneous tissue in the middle ofthe neck found congested. Hyoid bone found fractured. The larynx and trachea were</w:t>
      </w:r>
      <w:r>
        <w:rPr>
          <w:szCs w:val="25"/>
        </w:rPr>
        <w:t xml:space="preserve"> </w:t>
      </w:r>
      <w:r w:rsidRPr="00662BE8">
        <w:rPr>
          <w:szCs w:val="25"/>
        </w:rPr>
        <w:t>found congested. Both lungs were found congested.</w:t>
      </w:r>
    </w:p>
    <w:p w:rsidR="00662BE8" w:rsidRPr="00662BE8" w:rsidRDefault="00662BE8" w:rsidP="00662BE8">
      <w:pPr>
        <w:jc w:val="both"/>
        <w:rPr>
          <w:szCs w:val="25"/>
        </w:rPr>
      </w:pPr>
      <w:r>
        <w:rPr>
          <w:szCs w:val="25"/>
        </w:rPr>
        <w:t>5.</w:t>
      </w:r>
      <w:r w:rsidRPr="00662BE8">
        <w:rPr>
          <w:szCs w:val="25"/>
        </w:rPr>
        <w:t xml:space="preserve"> PW2 and PW3 who were examined as eye-witnesses have fully supported the case of the prosecution. As already noticed, according to them, when they were on their way back from the house of Chetu Ram after taking part in Satyanarain Katha, they heard the cries of deceased, Taradevi. When they reached near the house of Taradevi, in the light of torches that they were carrying, they saw that Gajoo and Rampal were throttling her in the Aangan (courtyard) of her house and Gajoo was holding Daranti, Ext. 2 in his hands. When they tried to intervene, they were threatened. PW5, Gudru has proved recovery of Ext. 2 which was used in the crime and recovery memo, Ext. Ka-11 was prepared. After the death of his mother, PW4, Guddu, minor son of the deceased had gone to his uncles house to inform him about his mothers death and thereafter, his uncle lodged the report to the police. He stated </w:t>
      </w:r>
      <w:r w:rsidRPr="00662BE8">
        <w:rPr>
          <w:szCs w:val="25"/>
        </w:rPr>
        <w:lastRenderedPageBreak/>
        <w:t>that he too had gone to attend the Katha at the house of Chetu Ram and in the morning, when he returned, he saw his mother dead. He partly supported the case of prosecution as he affirmed that there was a dispute with regard to the land between his mother and uncle Gajoo, but stated that he did not know as to who had killed his mother. Investigation Officer, PW6, in the witness box narrated the entire case of the prosecution and the Gajoo vs State Of Uttarakhand on 13 September, 2012</w:t>
      </w:r>
      <w:r>
        <w:rPr>
          <w:szCs w:val="25"/>
        </w:rPr>
        <w:t xml:space="preserve"> </w:t>
      </w:r>
      <w:r w:rsidRPr="00662BE8">
        <w:rPr>
          <w:szCs w:val="25"/>
        </w:rPr>
        <w:t>investigation conducted by him.</w:t>
      </w:r>
    </w:p>
    <w:p w:rsidR="00662BE8" w:rsidRPr="00662BE8" w:rsidRDefault="00662BE8" w:rsidP="00662BE8">
      <w:pPr>
        <w:jc w:val="both"/>
        <w:rPr>
          <w:szCs w:val="25"/>
        </w:rPr>
      </w:pPr>
      <w:r>
        <w:rPr>
          <w:szCs w:val="25"/>
        </w:rPr>
        <w:t>6.</w:t>
      </w:r>
      <w:r w:rsidRPr="00662BE8">
        <w:rPr>
          <w:szCs w:val="25"/>
        </w:rPr>
        <w:t xml:space="preserve"> The Investigating Officer filed the report before the Court in terms of Section 172(3) of the Criminal Procedure Code, charging the accused/appellant Gajoo and Rampal, both under Section 302 Indian Penal Code, 1860 (for short IPC). They faced trial before the Court of Sessions Judge and were convicted for the offence under Section 302 IPC vide judgment dated 2nd July, 1990. The trial court awarded life imprisonment to the accused Gajoo, as the accused Rampal had died during the pendency of the appeal.</w:t>
      </w:r>
    </w:p>
    <w:p w:rsidR="00662BE8" w:rsidRPr="00662BE8" w:rsidRDefault="00662BE8" w:rsidP="00662BE8">
      <w:pPr>
        <w:jc w:val="both"/>
        <w:rPr>
          <w:szCs w:val="25"/>
        </w:rPr>
      </w:pPr>
      <w:r>
        <w:rPr>
          <w:szCs w:val="25"/>
        </w:rPr>
        <w:t>7.</w:t>
      </w:r>
      <w:r w:rsidRPr="00662BE8">
        <w:rPr>
          <w:szCs w:val="25"/>
        </w:rPr>
        <w:t xml:space="preserve"> Aggrieved by the judgment of the trial court, the accused preferred an appeal before the High Court which came to be dismissed vide judgment dated 7th April, 2008. The High Court confirmed both the judgment of conviction and order of sentence passed by the trial court, giving rise to the present appeal.</w:t>
      </w:r>
    </w:p>
    <w:p w:rsidR="00662BE8" w:rsidRPr="00662BE8" w:rsidRDefault="00662BE8" w:rsidP="00662BE8">
      <w:pPr>
        <w:jc w:val="both"/>
        <w:rPr>
          <w:szCs w:val="25"/>
        </w:rPr>
      </w:pPr>
      <w:r>
        <w:rPr>
          <w:szCs w:val="25"/>
        </w:rPr>
        <w:t>8.</w:t>
      </w:r>
      <w:r w:rsidRPr="00662BE8">
        <w:rPr>
          <w:szCs w:val="25"/>
        </w:rPr>
        <w:t xml:space="preserve"> While impugning the judgment under appeal and praying for an order of acquittal, the learned counsel appearing for the appellant has primarily and with some emphasis contended that;</w:t>
      </w:r>
    </w:p>
    <w:p w:rsidR="00662BE8" w:rsidRPr="00662BE8" w:rsidRDefault="00662BE8" w:rsidP="00662BE8">
      <w:pPr>
        <w:ind w:left="720"/>
        <w:jc w:val="both"/>
        <w:rPr>
          <w:szCs w:val="25"/>
        </w:rPr>
      </w:pPr>
      <w:r>
        <w:rPr>
          <w:szCs w:val="25"/>
        </w:rPr>
        <w:t>“1.</w:t>
      </w:r>
      <w:r w:rsidRPr="00662BE8">
        <w:rPr>
          <w:szCs w:val="25"/>
        </w:rPr>
        <w:t xml:space="preserve"> PW2 and PW3, the so-called eye-witnesses, are not genuine and are related to PW1.</w:t>
      </w:r>
    </w:p>
    <w:p w:rsidR="00662BE8" w:rsidRPr="00662BE8" w:rsidRDefault="00662BE8" w:rsidP="00662BE8">
      <w:pPr>
        <w:ind w:left="720"/>
        <w:jc w:val="both"/>
        <w:rPr>
          <w:szCs w:val="25"/>
        </w:rPr>
      </w:pPr>
      <w:r w:rsidRPr="00662BE8">
        <w:rPr>
          <w:szCs w:val="25"/>
        </w:rPr>
        <w:t>Their presence at the place of occurrence is doubtful.</w:t>
      </w:r>
    </w:p>
    <w:p w:rsidR="00662BE8" w:rsidRPr="00662BE8" w:rsidRDefault="00662BE8" w:rsidP="00662BE8">
      <w:pPr>
        <w:ind w:left="720"/>
        <w:jc w:val="both"/>
        <w:rPr>
          <w:szCs w:val="25"/>
        </w:rPr>
      </w:pPr>
      <w:r>
        <w:rPr>
          <w:szCs w:val="25"/>
        </w:rPr>
        <w:t>2.</w:t>
      </w:r>
      <w:r w:rsidRPr="00662BE8">
        <w:rPr>
          <w:szCs w:val="25"/>
        </w:rPr>
        <w:t xml:space="preserve"> With the motive of grabbing the entire land, PW1 has falsely implicated both the accused.</w:t>
      </w:r>
    </w:p>
    <w:p w:rsidR="00662BE8" w:rsidRPr="00662BE8" w:rsidRDefault="00662BE8" w:rsidP="00662BE8">
      <w:pPr>
        <w:ind w:left="720"/>
        <w:jc w:val="both"/>
        <w:rPr>
          <w:szCs w:val="25"/>
        </w:rPr>
      </w:pPr>
      <w:r>
        <w:rPr>
          <w:szCs w:val="25"/>
        </w:rPr>
        <w:t>3.</w:t>
      </w:r>
      <w:r w:rsidRPr="00662BE8">
        <w:rPr>
          <w:szCs w:val="25"/>
        </w:rPr>
        <w:t xml:space="preserve"> There are clear and material contradictions between the medical and oral evidence i.e. Ext. Ka-10 and statements of PW2 and PW3, and even the cause of death is not clear, which essentially must go to the benefit of the accused.</w:t>
      </w:r>
    </w:p>
    <w:p w:rsidR="00662BE8" w:rsidRPr="00662BE8" w:rsidRDefault="00662BE8" w:rsidP="00662BE8">
      <w:pPr>
        <w:ind w:left="720"/>
        <w:jc w:val="both"/>
        <w:rPr>
          <w:szCs w:val="25"/>
        </w:rPr>
      </w:pPr>
      <w:r>
        <w:rPr>
          <w:szCs w:val="25"/>
        </w:rPr>
        <w:t>4.</w:t>
      </w:r>
      <w:r w:rsidRPr="00662BE8">
        <w:rPr>
          <w:szCs w:val="25"/>
        </w:rPr>
        <w:t xml:space="preserve"> The Daranti and blood stained pyjama which were recovered, were not sent for FSL examination and no serological report was obtained.</w:t>
      </w:r>
    </w:p>
    <w:p w:rsidR="00662BE8" w:rsidRPr="00662BE8" w:rsidRDefault="00662BE8" w:rsidP="00662BE8">
      <w:pPr>
        <w:jc w:val="both"/>
        <w:rPr>
          <w:szCs w:val="25"/>
        </w:rPr>
      </w:pPr>
      <w:r>
        <w:rPr>
          <w:szCs w:val="25"/>
        </w:rPr>
        <w:t>9.</w:t>
      </w:r>
      <w:r w:rsidRPr="00662BE8">
        <w:rPr>
          <w:szCs w:val="25"/>
        </w:rPr>
        <w:t xml:space="preserve"> In support of his contention, the learned counsel for the appellant had laid a lot of emphasis on the statement of PW4. According to him, PW4 had not completely stated the case of the prosecution, and therefore, the accused was entitled to acquittal.</w:t>
      </w:r>
    </w:p>
    <w:p w:rsidR="00662BE8" w:rsidRPr="00662BE8" w:rsidRDefault="00662BE8" w:rsidP="00662BE8">
      <w:pPr>
        <w:jc w:val="both"/>
        <w:rPr>
          <w:szCs w:val="25"/>
        </w:rPr>
      </w:pPr>
      <w:r>
        <w:rPr>
          <w:szCs w:val="25"/>
        </w:rPr>
        <w:lastRenderedPageBreak/>
        <w:t>10.</w:t>
      </w:r>
      <w:r w:rsidRPr="00662BE8">
        <w:rPr>
          <w:szCs w:val="25"/>
        </w:rPr>
        <w:t xml:space="preserve"> In the cross-examination, PW4 has made certain statements which no doubt, do not support the case of the prosecution. He stated that he had not given the names of the murderers to his uncle. The statement of PW4 has to be read collectively along with the statement of PW1, PW2 and PW3. PW4 was a minor, when he saw his mother dead in the year 1987. His statement was recorded on 22nd January, 1990 i.e. more than two and a half years after the date of occurrence. We are unable to see any serious contradictions or untruthfulness in the statement of this witness. Even if his statement has to be evaluated as it is on record, he had stated the facts that when he returned from the house of Chetu Ram after attending the Katha, he saw his mother lying dead and thereafter he went and informed his uncle who subsequently lodged the report with the police the next morning and in view of the statement of PW2 and PW3, the accused were arrested. We fail to understand as to what advantage the accused intends to draw from this statement of PW4. It was not the case of the prosecution that PW4 was an eye-witness or had seen the accused persons murdering his mother. The trial court, on that behalf had recorded that in view of the death of his mother as well as the co-accused, his elder brother, Rampal, he might not have stated certain facts correctly before the Court. We do not see any reason for making such a remark in the judgment. There are no material or other contradictions in the statements of these four witnesses. PW2 is stated to be related to PW1 who in turn is related to the deceased. Also, PW3 is related to the deceased. Thus, according to the submission on behalf of the accused all of them become interested witnesses who have attempted to falsely implicate the appellant. The statement of these witnesses, therefore, cannot be relied upon, they being relatives and interested witnesses of the deceased and other witnesses.</w:t>
      </w:r>
    </w:p>
    <w:p w:rsidR="00662BE8" w:rsidRDefault="00662BE8" w:rsidP="00662BE8">
      <w:pPr>
        <w:jc w:val="both"/>
        <w:rPr>
          <w:szCs w:val="25"/>
        </w:rPr>
      </w:pPr>
      <w:r>
        <w:rPr>
          <w:szCs w:val="25"/>
        </w:rPr>
        <w:t>11.</w:t>
      </w:r>
      <w:r w:rsidRPr="00662BE8">
        <w:rPr>
          <w:szCs w:val="25"/>
        </w:rPr>
        <w:t xml:space="preserve"> We are not impressed with this argument. The appreciation of evidence of such related witnesses has been discussed by this Court in its various judgments. In the case of </w:t>
      </w:r>
      <w:r w:rsidRPr="00662BE8">
        <w:rPr>
          <w:i/>
          <w:szCs w:val="25"/>
        </w:rPr>
        <w:t>Dalip Singh v. State of Punjab</w:t>
      </w:r>
      <w:r w:rsidRPr="00662BE8">
        <w:rPr>
          <w:sz w:val="20"/>
          <w:szCs w:val="25"/>
          <w:vertAlign w:val="superscript"/>
        </w:rPr>
        <w:t>1</w:t>
      </w:r>
      <w:r w:rsidRPr="00662BE8">
        <w:rPr>
          <w:szCs w:val="25"/>
        </w:rPr>
        <w:t xml:space="preserve"> while rejecting the argument that witnesses who are close-relatives of the victim should not be relied upon, the Court held as under:-</w:t>
      </w:r>
    </w:p>
    <w:p w:rsidR="00662BE8" w:rsidRPr="00662BE8" w:rsidRDefault="00662BE8" w:rsidP="00662BE8">
      <w:pPr>
        <w:ind w:left="720"/>
        <w:jc w:val="both"/>
        <w:rPr>
          <w:szCs w:val="25"/>
        </w:rPr>
      </w:pPr>
      <w:r>
        <w:rPr>
          <w:szCs w:val="25"/>
        </w:rPr>
        <w:t>“</w:t>
      </w:r>
      <w:r w:rsidRPr="00662BE8">
        <w:rPr>
          <w:szCs w:val="25"/>
        </w:rPr>
        <w:t>A witness is normally to be considered independent unless he or she springs from sources which are likely to be tainted and that usually means unless the witness has cause, such as enmity against the accused, to wish to implicate him falsely. Ordinarily, a close relative would be the last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 However, we are not attempting any sweeping generalisation.Each case must be judged on its own facts. Our observations are only made to combat what is so often put forward in cases before us as a general rule of prudence. There is no such general rule. Each case must be limited to and be governed by its own facts.</w:t>
      </w:r>
      <w:r>
        <w:rPr>
          <w:szCs w:val="25"/>
        </w:rPr>
        <w:t>”</w:t>
      </w:r>
    </w:p>
    <w:p w:rsidR="00662BE8" w:rsidRDefault="00662BE8" w:rsidP="00662BE8">
      <w:pPr>
        <w:jc w:val="both"/>
        <w:rPr>
          <w:szCs w:val="25"/>
        </w:rPr>
      </w:pPr>
      <w:r>
        <w:rPr>
          <w:szCs w:val="25"/>
        </w:rPr>
        <w:lastRenderedPageBreak/>
        <w:t>12.</w:t>
      </w:r>
      <w:r w:rsidRPr="00662BE8">
        <w:rPr>
          <w:szCs w:val="25"/>
        </w:rPr>
        <w:t xml:space="preserve"> Similar view was taken by this Court in the case of State of </w:t>
      </w:r>
      <w:r w:rsidRPr="00662BE8">
        <w:rPr>
          <w:i/>
          <w:szCs w:val="25"/>
        </w:rPr>
        <w:t>A.P. v. S. Rayappa and Others</w:t>
      </w:r>
      <w:r w:rsidRPr="00662BE8">
        <w:rPr>
          <w:i/>
          <w:sz w:val="20"/>
          <w:szCs w:val="25"/>
          <w:vertAlign w:val="superscript"/>
        </w:rPr>
        <w:t>2</w:t>
      </w:r>
      <w:r w:rsidRPr="00662BE8">
        <w:rPr>
          <w:sz w:val="20"/>
          <w:szCs w:val="25"/>
          <w:vertAlign w:val="superscript"/>
        </w:rPr>
        <w:t xml:space="preserve"> </w:t>
      </w:r>
      <w:r w:rsidRPr="00662BE8">
        <w:rPr>
          <w:szCs w:val="25"/>
        </w:rPr>
        <w:t>The court observed that it is now almost a fashion that public is reluctant to appear and depose before the court, especially in criminal cases and the cases for that reason itself are dragged for years and years. The Court also stated the principle that, by now, it is a well-established principle of law that testimony of a witness otherwise inspiring confidence cannot be discarded on the ground that he being a relation of the deceased is an interested witness. A close relative who is a very natural witness cannot be termed as interested witness. The term interested postulates that the person concerned must have some direct interest in seeing the accused person being convicted somehow or the other either because of animosity or for some other reasons.</w:t>
      </w:r>
    </w:p>
    <w:p w:rsidR="00662BE8" w:rsidRPr="00662BE8" w:rsidRDefault="00662BE8" w:rsidP="00662BE8">
      <w:pPr>
        <w:jc w:val="both"/>
        <w:rPr>
          <w:szCs w:val="25"/>
        </w:rPr>
      </w:pPr>
      <w:r>
        <w:rPr>
          <w:szCs w:val="25"/>
        </w:rPr>
        <w:t>13.</w:t>
      </w:r>
      <w:r w:rsidRPr="00662BE8">
        <w:rPr>
          <w:szCs w:val="25"/>
        </w:rPr>
        <w:t xml:space="preserve"> This Court has also taken the view that related witness does not necessarily mean or is equivalent to an interested witness. A witness may be called interested only when he or she derives some benefit from the result of litigation; in the decree in a civil case, or in seeing an accused person punished. {Ref. </w:t>
      </w:r>
      <w:r w:rsidRPr="00662BE8">
        <w:rPr>
          <w:i/>
          <w:szCs w:val="25"/>
        </w:rPr>
        <w:t>State of Uttar Pradesh v. Kishanpal and Others</w:t>
      </w:r>
      <w:r w:rsidRPr="00662BE8">
        <w:rPr>
          <w:i/>
          <w:sz w:val="20"/>
          <w:szCs w:val="25"/>
          <w:vertAlign w:val="superscript"/>
        </w:rPr>
        <w:t>3</w:t>
      </w:r>
      <w:r w:rsidRPr="00662BE8">
        <w:rPr>
          <w:sz w:val="20"/>
          <w:szCs w:val="25"/>
          <w:vertAlign w:val="superscript"/>
        </w:rPr>
        <w:t xml:space="preserve"> </w:t>
      </w:r>
      <w:r w:rsidRPr="00662BE8">
        <w:rPr>
          <w:szCs w:val="25"/>
        </w:rPr>
        <w:t>Gajoo vs State Of Uttarakhand on 13 September, 2012</w:t>
      </w:r>
    </w:p>
    <w:p w:rsidR="00662BE8" w:rsidRPr="00662BE8" w:rsidRDefault="00662BE8" w:rsidP="00662BE8">
      <w:pPr>
        <w:jc w:val="both"/>
        <w:rPr>
          <w:szCs w:val="25"/>
        </w:rPr>
      </w:pPr>
      <w:r>
        <w:rPr>
          <w:szCs w:val="25"/>
        </w:rPr>
        <w:t>14.</w:t>
      </w:r>
      <w:r w:rsidRPr="00662BE8">
        <w:rPr>
          <w:szCs w:val="25"/>
        </w:rPr>
        <w:t xml:space="preserve"> In the case of </w:t>
      </w:r>
      <w:r w:rsidRPr="00662BE8">
        <w:rPr>
          <w:i/>
          <w:szCs w:val="25"/>
        </w:rPr>
        <w:t>Darya Singh &amp; Ors. v. State of Punjab</w:t>
      </w:r>
      <w:r w:rsidRPr="00662BE8">
        <w:rPr>
          <w:i/>
          <w:sz w:val="20"/>
          <w:szCs w:val="25"/>
          <w:vertAlign w:val="superscript"/>
        </w:rPr>
        <w:t>4</w:t>
      </w:r>
      <w:r w:rsidRPr="00662BE8">
        <w:rPr>
          <w:szCs w:val="25"/>
        </w:rPr>
        <w:t>the Court held as under:-</w:t>
      </w:r>
    </w:p>
    <w:p w:rsidR="00662BE8" w:rsidRPr="00662BE8" w:rsidRDefault="00662BE8" w:rsidP="00662BE8">
      <w:pPr>
        <w:jc w:val="both"/>
        <w:rPr>
          <w:szCs w:val="25"/>
        </w:rPr>
      </w:pPr>
      <w:r>
        <w:rPr>
          <w:szCs w:val="25"/>
        </w:rPr>
        <w:t>“</w:t>
      </w:r>
      <w:r w:rsidRPr="00662BE8">
        <w:rPr>
          <w:szCs w:val="25"/>
        </w:rPr>
        <w:t>On principle, however, it is difficult to accept the plea that if a witness is shown to be a relative of the deceased and it is also shown that he shared the hostility of the victim towards the assailant, his evidence can never be accepted unless it is corroborated on material particulars.</w:t>
      </w:r>
      <w:r>
        <w:rPr>
          <w:szCs w:val="25"/>
        </w:rPr>
        <w:t>”</w:t>
      </w:r>
    </w:p>
    <w:p w:rsidR="00662BE8" w:rsidRPr="00662BE8" w:rsidRDefault="00662BE8" w:rsidP="00662BE8">
      <w:pPr>
        <w:jc w:val="both"/>
        <w:rPr>
          <w:szCs w:val="25"/>
        </w:rPr>
      </w:pPr>
      <w:r>
        <w:rPr>
          <w:szCs w:val="25"/>
        </w:rPr>
        <w:t xml:space="preserve">15. </w:t>
      </w:r>
      <w:r w:rsidRPr="00662BE8">
        <w:rPr>
          <w:szCs w:val="25"/>
        </w:rPr>
        <w:t>Once, the presence of PW2 and PW3 is shown to be natural, then to doubt their statement would not be a correct approach in law. It has unequivocally come on record through various witnesses, including PW4, that there was a Satyanarayan Katha at the house of Chetu Ram which was attended by various villagers. It was on their way back at midnight when PW2 and PW3 had seen the occurrence in dark with the help of the torches that they were carrying. The mere fact that PW2 happens to be related to PW1 and to the deceased, would not result in doubting the statement of these witnesses which otherwise have credence, are reliable and are duly corroborated by other evidence. In such cases, it is only the members of the family who come forward to depose. Once it is established that their depositions do not suffer from material contradictions, are trustworthy and in consonance with the above-stated principles, the Courts would not be justified in overlooking such valuable piece of evidence.</w:t>
      </w:r>
    </w:p>
    <w:p w:rsidR="00662BE8" w:rsidRPr="00662BE8" w:rsidRDefault="00662BE8" w:rsidP="00662BE8">
      <w:pPr>
        <w:jc w:val="both"/>
        <w:rPr>
          <w:szCs w:val="25"/>
        </w:rPr>
      </w:pPr>
      <w:r>
        <w:rPr>
          <w:szCs w:val="25"/>
        </w:rPr>
        <w:t>16.</w:t>
      </w:r>
      <w:r w:rsidRPr="00662BE8">
        <w:rPr>
          <w:szCs w:val="25"/>
        </w:rPr>
        <w:t xml:space="preserve"> Coming to the next submission on behalf of the accused that there is contradiction between the ocular and medical evidence, it is contended that according to PW2 and PW3, the deceased was killed by use the of Daranti that the accused/appellant Gajoo was carrying, while according to the medical evidence, the death resulted from asphyxia. This argument is based upon misreading of the evidence. PW2 and PW3 had seen in the dark i.e. in the limited </w:t>
      </w:r>
      <w:r w:rsidRPr="00662BE8">
        <w:rPr>
          <w:szCs w:val="25"/>
        </w:rPr>
        <w:lastRenderedPageBreak/>
        <w:t>light of the torches that they were carrying, that Rampal was holding the deceased while Gajoo was inflicting injuries on her body with the help of Daranti. As per the Post Mortem Report, Ext. Ka-10, two injuries have been noticed under the chin which are; incised wound 4 cm x V2 cm muscle deep, incised wound 5 cm x 1 cm muscle deep and the second injury is just below the first injury. Injury No. (iii) recorded in the post mortem report is very material. According to the doctor, there were three abraded contusions of different sizes, in the middle of the neck. The doctor has specifically recorded that both lungs were congested, the larynx and trachea were found congested and the expert judgment of the doctor based on these factors was that death occurred due to asphyxia because of strangulation.</w:t>
      </w:r>
    </w:p>
    <w:p w:rsidR="00662BE8" w:rsidRPr="00662BE8" w:rsidRDefault="00662BE8" w:rsidP="00662BE8">
      <w:pPr>
        <w:jc w:val="both"/>
        <w:rPr>
          <w:szCs w:val="25"/>
        </w:rPr>
      </w:pPr>
      <w:r>
        <w:rPr>
          <w:szCs w:val="25"/>
        </w:rPr>
        <w:t>17.</w:t>
      </w:r>
      <w:r w:rsidRPr="00662BE8">
        <w:rPr>
          <w:szCs w:val="25"/>
        </w:rPr>
        <w:t xml:space="preserve"> Rampal was pushing down the deceased on the earth in the Aangan while Gajoo had inflicted the injuries. The injuries evidently were inflicted by accused Gajoo holding Daranti in one hand and holding the neck of the deceased with the other hand. It was the pressing of her neck and body to the earth by both the accused of much greater strength than the deceased, that resulted in her death.</w:t>
      </w:r>
    </w:p>
    <w:p w:rsidR="00662BE8" w:rsidRPr="00662BE8" w:rsidRDefault="00662BE8" w:rsidP="00662BE8">
      <w:pPr>
        <w:jc w:val="both"/>
        <w:rPr>
          <w:i/>
          <w:szCs w:val="25"/>
        </w:rPr>
      </w:pPr>
      <w:r>
        <w:rPr>
          <w:szCs w:val="25"/>
        </w:rPr>
        <w:t>18.</w:t>
      </w:r>
      <w:r w:rsidRPr="00662BE8">
        <w:rPr>
          <w:szCs w:val="25"/>
        </w:rPr>
        <w:t xml:space="preserve"> We have also noticed that there is no variation between the medical evidence and the ocular evidence, and once they are co-jointly read, it does not falsify either the statement of the witnesses, PW2 and PW3 or the Post-Mortem Report, Ext. Ka-10. In fact, both of them must be read as complimentary to each other. Even if for the sake of argument we assume that there is some variation, still, it would be so immaterial and inconsequential that it would not give any benefit to the accused. It is a settled principle by a series of decisions of this Court that while appreciating the variation between the medical evidence and ocular evidence, primacy is given to the oral evidence of the witnesses. Reference can be made to the judgments of this Court in the case of </w:t>
      </w:r>
      <w:r w:rsidRPr="00662BE8">
        <w:rPr>
          <w:i/>
          <w:szCs w:val="25"/>
        </w:rPr>
        <w:t>Kapildeo Ma</w:t>
      </w:r>
      <w:r>
        <w:rPr>
          <w:i/>
          <w:szCs w:val="25"/>
        </w:rPr>
        <w:t>ndal and Ors. v. State of Bihar</w:t>
      </w:r>
      <w:r w:rsidRPr="00662BE8">
        <w:rPr>
          <w:i/>
          <w:sz w:val="20"/>
          <w:szCs w:val="25"/>
          <w:vertAlign w:val="superscript"/>
        </w:rPr>
        <w:t>5</w:t>
      </w:r>
      <w:r w:rsidRPr="00662BE8">
        <w:rPr>
          <w:i/>
          <w:szCs w:val="25"/>
        </w:rPr>
        <w:t>State of U.P. v. Krishan Gopal</w:t>
      </w:r>
      <w:r w:rsidRPr="00662BE8">
        <w:rPr>
          <w:i/>
          <w:sz w:val="20"/>
          <w:szCs w:val="25"/>
          <w:vertAlign w:val="superscript"/>
        </w:rPr>
        <w:t>6</w:t>
      </w:r>
      <w:r w:rsidRPr="00662BE8">
        <w:rPr>
          <w:i/>
          <w:szCs w:val="25"/>
        </w:rPr>
        <w:t xml:space="preserve"> Bhajan Lal @ Harbhajan Singh &amp; Ors. v. State of Haryan</w:t>
      </w:r>
      <w:r>
        <w:rPr>
          <w:i/>
          <w:szCs w:val="25"/>
        </w:rPr>
        <w:t>a</w:t>
      </w:r>
      <w:r w:rsidRPr="00662BE8">
        <w:rPr>
          <w:i/>
          <w:sz w:val="20"/>
          <w:szCs w:val="25"/>
          <w:vertAlign w:val="superscript"/>
        </w:rPr>
        <w:t>7</w:t>
      </w:r>
    </w:p>
    <w:p w:rsidR="00662BE8" w:rsidRPr="00662BE8" w:rsidRDefault="00662BE8" w:rsidP="00662BE8">
      <w:pPr>
        <w:jc w:val="both"/>
        <w:rPr>
          <w:szCs w:val="25"/>
        </w:rPr>
      </w:pPr>
      <w:r>
        <w:rPr>
          <w:szCs w:val="25"/>
        </w:rPr>
        <w:t>19.</w:t>
      </w:r>
      <w:r w:rsidRPr="00662BE8">
        <w:rPr>
          <w:szCs w:val="25"/>
        </w:rPr>
        <w:t xml:space="preserve"> Now, we turn to the last submission on behalf of the accused that no serologist report was obtained in relation to the Daranti, Ext. 2 and blood stained pyjama, Ext. Ka 5, and therefore, the prosecution case should fail. This argument does not impress us at all. No doubt both these exhibits were not sent to the laboratory for obtaining serologist report, but the absence thereof per se would not give any advantage to the accused. This is merely a defect in investigation. A defective investigation, unless affects the very root of the prosecution case and is prejudicial to the accused, should not be an aspect of material consideration by the court. PW5 has duly proved the recovery of Daranti, Ext. 2 and the blood stained pyjama, Ext. Ka 5 and has duly stood the test of cross-examination in court. Both these articles were recovered by the investigating officer Brahma Singh, PW6 and the recoveries have been duly established before the court. The recoveries having been proved and the case of the prosecution being duly supported by two eye-witnesses, PW2 and PW3 and two witnesses, </w:t>
      </w:r>
      <w:r w:rsidRPr="00662BE8">
        <w:rPr>
          <w:szCs w:val="25"/>
        </w:rPr>
        <w:lastRenderedPageBreak/>
        <w:t>PW4 and PW5 who were present immediately after the occurrence, have proved the case of the prosecution beyond any reasonable doubt.</w:t>
      </w:r>
    </w:p>
    <w:p w:rsidR="00662BE8" w:rsidRPr="00662BE8" w:rsidRDefault="00662BE8" w:rsidP="00662BE8">
      <w:pPr>
        <w:jc w:val="both"/>
        <w:rPr>
          <w:szCs w:val="25"/>
        </w:rPr>
      </w:pPr>
      <w:r>
        <w:rPr>
          <w:szCs w:val="25"/>
        </w:rPr>
        <w:t>20.</w:t>
      </w:r>
      <w:r w:rsidRPr="00662BE8">
        <w:rPr>
          <w:szCs w:val="25"/>
        </w:rPr>
        <w:t xml:space="preserve"> In regard to the defective investigation, this Court in the case of </w:t>
      </w:r>
      <w:r w:rsidRPr="00662BE8">
        <w:rPr>
          <w:i/>
          <w:szCs w:val="25"/>
        </w:rPr>
        <w:t>Dayal Singh and Others. v. State of Uttaranchal</w:t>
      </w:r>
      <w:r w:rsidRPr="00662BE8">
        <w:rPr>
          <w:i/>
          <w:sz w:val="20"/>
          <w:szCs w:val="25"/>
          <w:vertAlign w:val="superscript"/>
        </w:rPr>
        <w:t>8</w:t>
      </w:r>
      <w:r w:rsidRPr="00662BE8">
        <w:rPr>
          <w:szCs w:val="25"/>
        </w:rPr>
        <w:t>while dealing with the cases of omissions and commissions by the investigating officer, and duty of the Court in such cases held as under:-</w:t>
      </w:r>
    </w:p>
    <w:p w:rsidR="00662BE8" w:rsidRPr="00662BE8" w:rsidRDefault="00662BE8" w:rsidP="00662BE8">
      <w:pPr>
        <w:jc w:val="both"/>
        <w:rPr>
          <w:szCs w:val="25"/>
        </w:rPr>
      </w:pPr>
      <w:r>
        <w:rPr>
          <w:szCs w:val="25"/>
        </w:rPr>
        <w:t>22.</w:t>
      </w:r>
      <w:r w:rsidRPr="00662BE8">
        <w:rPr>
          <w:szCs w:val="25"/>
        </w:rPr>
        <w:t xml:space="preserve"> Now, we may advert to the duty of the Court in such cases. In the case of </w:t>
      </w:r>
      <w:r w:rsidRPr="00EF6F8F">
        <w:rPr>
          <w:i/>
          <w:szCs w:val="25"/>
        </w:rPr>
        <w:t>Sathi Prasad v. The State of U.P</w:t>
      </w:r>
      <w:r w:rsidR="00EF6F8F" w:rsidRPr="00EF6F8F">
        <w:rPr>
          <w:i/>
          <w:sz w:val="20"/>
          <w:szCs w:val="25"/>
          <w:vertAlign w:val="superscript"/>
        </w:rPr>
        <w:t>9</w:t>
      </w:r>
      <w:r w:rsidRPr="00662BE8">
        <w:rPr>
          <w:szCs w:val="25"/>
        </w:rPr>
        <w:t xml:space="preserve">this Court stated that it is well settled that if the police records become suspect and investigation perfunctory, it becomes the duty of the Court to see if the evidence given in Court should be relied upon and such lapses ignored. Noticing the possibility of investigation being designedly defective, this Court in the case of </w:t>
      </w:r>
      <w:r w:rsidRPr="00EF6F8F">
        <w:rPr>
          <w:i/>
          <w:szCs w:val="25"/>
        </w:rPr>
        <w:t>Dhanaj Singh @ Shera &amp; Ors. v. State of Punjab</w:t>
      </w:r>
      <w:r w:rsidR="00EF6F8F" w:rsidRPr="00EF6F8F">
        <w:rPr>
          <w:i/>
          <w:sz w:val="20"/>
          <w:szCs w:val="25"/>
          <w:vertAlign w:val="superscript"/>
        </w:rPr>
        <w:t>10</w:t>
      </w:r>
      <w:r w:rsidRPr="00662BE8">
        <w:rPr>
          <w:szCs w:val="25"/>
        </w:rPr>
        <w:t>held, in the case of a defective investigation the Court has to be circumspect in evaluating the evidence. But it would not be right in acquitting an accused person solely on account of the defect; to do so would tantamount to playing into the hands of the investigating officer if the investigation is designedly defective.</w:t>
      </w:r>
    </w:p>
    <w:p w:rsidR="00662BE8" w:rsidRPr="00662BE8" w:rsidRDefault="00662BE8" w:rsidP="00662BE8">
      <w:pPr>
        <w:jc w:val="both"/>
        <w:rPr>
          <w:szCs w:val="25"/>
        </w:rPr>
      </w:pPr>
      <w:r>
        <w:rPr>
          <w:szCs w:val="25"/>
        </w:rPr>
        <w:t xml:space="preserve">23. </w:t>
      </w:r>
      <w:r w:rsidRPr="00662BE8">
        <w:rPr>
          <w:szCs w:val="25"/>
        </w:rPr>
        <w:t xml:space="preserve">Dealing with the cases of omission and commission, the Court in the case of </w:t>
      </w:r>
      <w:r w:rsidRPr="00EF6F8F">
        <w:rPr>
          <w:i/>
          <w:szCs w:val="25"/>
        </w:rPr>
        <w:t>Paras Yadav v. State of Bihar</w:t>
      </w:r>
      <w:r w:rsidR="00EF6F8F" w:rsidRPr="00EF6F8F">
        <w:rPr>
          <w:sz w:val="20"/>
          <w:szCs w:val="25"/>
          <w:vertAlign w:val="superscript"/>
        </w:rPr>
        <w:t>11</w:t>
      </w:r>
      <w:r w:rsidRPr="00662BE8">
        <w:rPr>
          <w:szCs w:val="25"/>
        </w:rPr>
        <w:t xml:space="preserve"> enunciated the principle, in conformity with the previous judgments, that if the lapse or omission is committed by the investigating agency, negligently or otherwise, the prosecution evidence is required to be examined de hors such omissions to find out whether the said evidence is reliable or not. The contaminated conduct of officials should not stand in the way of evaluating the evidence by the courts, otherwise the designed mischief would be perpetuated and justice would be denied to the complainant party. In the case of </w:t>
      </w:r>
      <w:r w:rsidRPr="00EF6F8F">
        <w:rPr>
          <w:i/>
          <w:szCs w:val="25"/>
        </w:rPr>
        <w:t>Zahira Habibullah Sheikh &amp; Anr. Vs. State of Gujarat &amp; Ors</w:t>
      </w:r>
      <w:r w:rsidR="00EF6F8F" w:rsidRPr="00EF6F8F">
        <w:rPr>
          <w:i/>
          <w:sz w:val="22"/>
          <w:vertAlign w:val="superscript"/>
        </w:rPr>
        <w:t>12</w:t>
      </w:r>
      <w:r w:rsidRPr="00662BE8">
        <w:rPr>
          <w:szCs w:val="25"/>
        </w:rPr>
        <w:t xml:space="preserve"> the Court noticed the importance of the role of witnesses in a criminal trial. Theimportance and primacy of the quality of trial process can be observed from the words of Bentham, who states that witnesses are the eyes and ears of justice. The Court issued a caution that in such situations, there is a greater responsibility of the court on the one hand and on the other the courts must seriously deal with persons who are involved in creating designed investigation. The Court held that legislative measures to emphasize prohibition against tampering with witness, victim or informant have become the imminent and inevitable need of the day. Conducts which illegitimately affect the presentation of evidence in proceedings before the Courts have to be seriously and sternly dealt with. There should not be any undue anxiety to only protect the interest of the accused. That would be unfair, as noted above, to the needs of the society. On the contrary, efforts should be to ensure fair trial where the accused and the prosecution both get a fair deal. Public interest in proper administration of justice must be given as much importance if not more, as the interest of the individual accused. The courts have a vital role to play. (Emphasis supplied)</w:t>
      </w:r>
    </w:p>
    <w:p w:rsidR="00662BE8" w:rsidRPr="00662BE8" w:rsidRDefault="00662BE8" w:rsidP="00662BE8">
      <w:pPr>
        <w:jc w:val="both"/>
        <w:rPr>
          <w:szCs w:val="25"/>
        </w:rPr>
      </w:pPr>
      <w:r>
        <w:rPr>
          <w:szCs w:val="25"/>
        </w:rPr>
        <w:lastRenderedPageBreak/>
        <w:t>24.</w:t>
      </w:r>
      <w:r w:rsidRPr="00662BE8">
        <w:rPr>
          <w:szCs w:val="25"/>
        </w:rPr>
        <w:t xml:space="preserve"> With the passage of time, the law also developed and the dictum of the Court emphasized that in a criminal case, the fate of proceedings cannot always be left entirely in the hands of the parties. Crime is a public wrong, in breach and violation of public rights and duties, which affects the community as a whole and is harmful to the society in general.</w:t>
      </w:r>
    </w:p>
    <w:p w:rsidR="00662BE8" w:rsidRPr="00662BE8" w:rsidRDefault="00662BE8" w:rsidP="00662BE8">
      <w:pPr>
        <w:jc w:val="both"/>
        <w:rPr>
          <w:szCs w:val="25"/>
        </w:rPr>
      </w:pPr>
      <w:r>
        <w:rPr>
          <w:szCs w:val="25"/>
        </w:rPr>
        <w:t>25.</w:t>
      </w:r>
      <w:r w:rsidRPr="00662BE8">
        <w:rPr>
          <w:szCs w:val="25"/>
        </w:rPr>
        <w:t xml:space="preserve"> Reiterating the above principle, this Court in the case of </w:t>
      </w:r>
      <w:r w:rsidRPr="00EF6F8F">
        <w:rPr>
          <w:i/>
          <w:szCs w:val="25"/>
        </w:rPr>
        <w:t>National Human Rights Commission v. State of Gujarat</w:t>
      </w:r>
      <w:r w:rsidR="00EF6F8F" w:rsidRPr="00EF6F8F">
        <w:rPr>
          <w:i/>
          <w:sz w:val="20"/>
          <w:szCs w:val="25"/>
          <w:vertAlign w:val="superscript"/>
        </w:rPr>
        <w:t>13</w:t>
      </w:r>
      <w:r w:rsidRPr="00EF6F8F">
        <w:rPr>
          <w:sz w:val="20"/>
          <w:szCs w:val="25"/>
          <w:vertAlign w:val="superscript"/>
        </w:rPr>
        <w:t xml:space="preserve"> </w:t>
      </w:r>
      <w:r w:rsidRPr="00662BE8">
        <w:rPr>
          <w:szCs w:val="25"/>
        </w:rPr>
        <w:t>held as under:The concept of fair trial entails familiar triangulation of interests of the accused, the victim and the society and it is the community that acts through the State and prosecuting agencies. Interest of society is not to be treated completely with disdain and as persona non grata. The courts have always been considered to have an overriding duty to maintain public confidence in the administration of justiceoften referred to as the duty to vindicate and uphold the majesty of the law. Due administration of justice has always been viewed as a continuous process, not confined to determination of the particular case, protecting its ability to function as a court of law in the future as in the case before it. If a criminal court is to be an effective instrument in dispensing justice, the Presiding Judge must cease to be a spectator and a mere recording machine by becoming a participant in the trial evincing intelligence, active interest and elicit all relevant materials necessary for reaching the correct conclusion, to find out the truth, and administer justice with fairness and impartiality both to the parties and to the community it serves. The courts administering criminal justice cannot turn a blind eye to vexatious or oppressive conduct that has occurred in relation to proceedings, even if a fair trial is still possible, except at the risk of undermining the fair name and standing of the judges as impartial and independent adjudicators.</w:t>
      </w:r>
    </w:p>
    <w:p w:rsidR="00EF6F8F" w:rsidRPr="00662BE8" w:rsidRDefault="00662BE8" w:rsidP="00662BE8">
      <w:pPr>
        <w:jc w:val="both"/>
        <w:rPr>
          <w:szCs w:val="25"/>
        </w:rPr>
      </w:pPr>
      <w:r>
        <w:rPr>
          <w:szCs w:val="25"/>
        </w:rPr>
        <w:t>26.</w:t>
      </w:r>
      <w:r w:rsidRPr="00662BE8">
        <w:rPr>
          <w:szCs w:val="25"/>
        </w:rPr>
        <w:t xml:space="preserve"> In the case of </w:t>
      </w:r>
      <w:r w:rsidRPr="00EF6F8F">
        <w:rPr>
          <w:i/>
          <w:szCs w:val="25"/>
        </w:rPr>
        <w:t>State o</w:t>
      </w:r>
      <w:r w:rsidR="00EF6F8F">
        <w:rPr>
          <w:i/>
          <w:szCs w:val="25"/>
        </w:rPr>
        <w:t>f Karnataka v. K. Yarappa Reddy</w:t>
      </w:r>
      <w:r w:rsidR="00EF6F8F" w:rsidRPr="00EF6F8F">
        <w:rPr>
          <w:i/>
          <w:sz w:val="20"/>
          <w:szCs w:val="25"/>
          <w:vertAlign w:val="superscript"/>
        </w:rPr>
        <w:t>14</w:t>
      </w:r>
      <w:r w:rsidRPr="00662BE8">
        <w:rPr>
          <w:szCs w:val="25"/>
        </w:rPr>
        <w:t>this Court occasioned to consider the similar question of defective investigation as to whether any manipulation in the station house diary by the Investigating Officer could be put against the prosecution case. This Court, in Paragraph 19, held as follows:</w:t>
      </w:r>
    </w:p>
    <w:p w:rsidR="00662BE8" w:rsidRPr="00662BE8" w:rsidRDefault="00662BE8" w:rsidP="00662BE8">
      <w:pPr>
        <w:ind w:left="720"/>
        <w:jc w:val="both"/>
        <w:rPr>
          <w:szCs w:val="25"/>
        </w:rPr>
      </w:pPr>
      <w:r>
        <w:rPr>
          <w:szCs w:val="25"/>
        </w:rPr>
        <w:t>“</w:t>
      </w:r>
      <w:r w:rsidRPr="00662BE8">
        <w:rPr>
          <w:szCs w:val="25"/>
        </w:rPr>
        <w:t xml:space="preserve">But can the above finding (that the station house diary is not genuine) have any inevitable bearing on the other evidence in this case? If the other evidence, on scrutiny, is found credible and acceptable, should the Court be influenced by the machinations demonstrated by the Investigating Officer in conducting investigation or in preparing the records so unscrupulously? It can be a guiding principle that as investigation is not the solitary area for judicial scrutiny in a criminal trial, the conclusion of the Court in the case cannot be allowed to depend solely on the probity of investigation. It is well-nigh settled that even if the investigation is illegal or even suspicious the rest of the evidence must be scrutinised independently of the impact of it. Otherwise the criminal trial will plummet to the level of the investigating officers ruling the roost. The court must have predominance and pre-eminence in criminal </w:t>
      </w:r>
      <w:r w:rsidRPr="00662BE8">
        <w:rPr>
          <w:szCs w:val="25"/>
        </w:rPr>
        <w:lastRenderedPageBreak/>
        <w:t>trials over the action taken by the investigation officers. Criminal Justice should not be made a casualty for the wrongs committed by the investigating officers in the case. In other words, if the court is convinced that the testimony of a witness to the occurrence is true the court is free to act on it albeit the investigating officer's suspicious role in the case.</w:t>
      </w:r>
    </w:p>
    <w:p w:rsidR="00662BE8" w:rsidRPr="00662BE8" w:rsidRDefault="00662BE8" w:rsidP="00662BE8">
      <w:pPr>
        <w:jc w:val="both"/>
        <w:rPr>
          <w:szCs w:val="25"/>
        </w:rPr>
      </w:pPr>
      <w:r>
        <w:rPr>
          <w:szCs w:val="25"/>
        </w:rPr>
        <w:t>27.</w:t>
      </w:r>
      <w:r w:rsidRPr="00662BE8">
        <w:rPr>
          <w:szCs w:val="25"/>
        </w:rPr>
        <w:t xml:space="preserve"> In </w:t>
      </w:r>
      <w:r w:rsidRPr="00EF6F8F">
        <w:rPr>
          <w:i/>
          <w:szCs w:val="25"/>
        </w:rPr>
        <w:t>Ram</w:t>
      </w:r>
      <w:r w:rsidR="00EF6F8F" w:rsidRPr="00EF6F8F">
        <w:rPr>
          <w:i/>
          <w:szCs w:val="25"/>
        </w:rPr>
        <w:t xml:space="preserve"> Bali v. State of Uttar Pradesh</w:t>
      </w:r>
      <w:r w:rsidR="00EF6F8F" w:rsidRPr="00EF6F8F">
        <w:rPr>
          <w:i/>
          <w:sz w:val="22"/>
          <w:szCs w:val="25"/>
          <w:vertAlign w:val="superscript"/>
        </w:rPr>
        <w:t>15</w:t>
      </w:r>
      <w:r w:rsidRPr="00662BE8">
        <w:rPr>
          <w:szCs w:val="25"/>
        </w:rPr>
        <w:t xml:space="preserve"> the judgment in </w:t>
      </w:r>
      <w:r w:rsidRPr="00EF6F8F">
        <w:rPr>
          <w:i/>
          <w:szCs w:val="25"/>
        </w:rPr>
        <w:t xml:space="preserve">Karnel Singh v. State of M.P. </w:t>
      </w:r>
      <w:r w:rsidR="00EF6F8F" w:rsidRPr="00EF6F8F">
        <w:rPr>
          <w:i/>
          <w:sz w:val="22"/>
          <w:szCs w:val="25"/>
          <w:vertAlign w:val="superscript"/>
        </w:rPr>
        <w:t>16</w:t>
      </w:r>
      <w:r w:rsidRPr="00662BE8">
        <w:rPr>
          <w:szCs w:val="25"/>
        </w:rPr>
        <w:t>was reiterated and this Court had observed that in case of defective investigation the court has to be circumspect while evaluating the evidence. But it would not be right in acquitting an accused person solely on account of the defect; to do so would tantamount to playing into the hands of the investigation officer if the investigation is designedly defective.</w:t>
      </w:r>
    </w:p>
    <w:p w:rsidR="00662BE8" w:rsidRPr="00662BE8" w:rsidRDefault="00662BE8" w:rsidP="00662BE8">
      <w:pPr>
        <w:jc w:val="both"/>
        <w:rPr>
          <w:szCs w:val="25"/>
        </w:rPr>
      </w:pPr>
      <w:r>
        <w:rPr>
          <w:szCs w:val="25"/>
        </w:rPr>
        <w:t>28.</w:t>
      </w:r>
      <w:r w:rsidRPr="00662BE8">
        <w:rPr>
          <w:szCs w:val="25"/>
        </w:rPr>
        <w:t xml:space="preserve"> Where our criminal justice system provides safeguards of fair trial and innocent till proven guilty to an accused, there it also contemplates that a criminal trial is meant for doing justice to all, the accused, the society and a fair chance to prove to the prosecution. Then alone can law and order be maintained. The Courts do not merely discharge the function to ensure that no innocent man is punished, but also that a guilty man does not escape. Both are public duties of the judge. During the course of the trial, the learned Presiding Judge is expected to work objectively and in a correct perspective. Where the prosecution attempts to misdirect the trial on the basis of a perfunctory or designedly defective investigation, there the Court is to be deeply cautious and ensure that despite such an attempt, the determinative process is not sub-served. For truly attaining this object of a fair trial</w:t>
      </w:r>
      <w:r>
        <w:rPr>
          <w:szCs w:val="25"/>
        </w:rPr>
        <w:t>, the Court should leave no sto</w:t>
      </w:r>
      <w:r w:rsidRPr="00662BE8">
        <w:rPr>
          <w:szCs w:val="25"/>
        </w:rPr>
        <w:t xml:space="preserve">e unturned to do justice and protect the interest of the society as well. </w:t>
      </w:r>
    </w:p>
    <w:p w:rsidR="00662BE8" w:rsidRPr="00662BE8" w:rsidRDefault="00662BE8" w:rsidP="00662BE8">
      <w:pPr>
        <w:jc w:val="both"/>
        <w:rPr>
          <w:szCs w:val="25"/>
        </w:rPr>
      </w:pPr>
      <w:r>
        <w:rPr>
          <w:szCs w:val="25"/>
        </w:rPr>
        <w:t xml:space="preserve">29. </w:t>
      </w:r>
      <w:r w:rsidRPr="00662BE8">
        <w:rPr>
          <w:szCs w:val="25"/>
        </w:rPr>
        <w:t>This brings us to an ancillary issue as to how the Court would appreciate the evidence in such cases. The possibility of some variations in the exhibits, medical and ocular evidence cannot be ruled out. But it is not that every minor variation or inconsistency would tilt the balance of justice in favour the accused. Of course, where contradictions and variations are of a serious nature, which apparently or impliedly are destructive of the substantive case sought to be proved by the prosecution, they may provide an advantage to the accused. The Courts, normally, look at expert evidence with a greater sense of acceptability, but it is equally true that the courts are not absolutely guided by the report of the experts, especially if such reports are perfunctory, unsustainable and are the result of a deliberate attempt to misdirect the prosecution. In Kamaljit Singh v. State of Punjab [2004 Cri.LJ 28], the Court, while dealing with discrepancies between ocular and medical evidence, held, It is trite law that minor variations between medical evidence and ocular evidence do not take away the primacy of the latter. Unless medical evidence in its term goes so far as to completely rule out all possibilities whatsoever of injuries taking place in the manner stated by the eyewitnesses, the testimony of the eyewitnesses cannot be thrown out.</w:t>
      </w:r>
    </w:p>
    <w:p w:rsidR="00662BE8" w:rsidRPr="00EF6F8F" w:rsidRDefault="00662BE8" w:rsidP="00662BE8">
      <w:pPr>
        <w:jc w:val="both"/>
        <w:rPr>
          <w:i/>
          <w:szCs w:val="25"/>
        </w:rPr>
      </w:pPr>
      <w:r>
        <w:rPr>
          <w:szCs w:val="25"/>
        </w:rPr>
        <w:lastRenderedPageBreak/>
        <w:t>30.</w:t>
      </w:r>
      <w:r w:rsidRPr="00662BE8">
        <w:rPr>
          <w:szCs w:val="25"/>
        </w:rPr>
        <w:t xml:space="preserve"> Where the eye witness account is found credible and trustworthy, medical opinion pointing to alternative possibilities may not be accepted as conclusive. The expert witness is expected to put before the Court all materials inclusive of the data which induced him to come to the conclusion and enlighten the court on the technical aspect of the case by examining the terms of science, so that the court, although not an expert, may form its own judgment on those materials after giving due regard to the experts opinion, because once the expert opinion is accepted, it is not the opinion of the medical officer but that of the Court. {Plz. See </w:t>
      </w:r>
      <w:r w:rsidRPr="00EF6F8F">
        <w:rPr>
          <w:i/>
          <w:szCs w:val="25"/>
        </w:rPr>
        <w:t>Madan Gopal Kakad v. Naval Dubey &amp; Anr</w:t>
      </w:r>
      <w:r w:rsidR="00EF6F8F" w:rsidRPr="00EF6F8F">
        <w:rPr>
          <w:i/>
          <w:sz w:val="22"/>
          <w:szCs w:val="25"/>
          <w:vertAlign w:val="superscript"/>
        </w:rPr>
        <w:t>17</w:t>
      </w:r>
    </w:p>
    <w:p w:rsidR="00662BE8" w:rsidRPr="00662BE8" w:rsidRDefault="00662BE8" w:rsidP="00662BE8">
      <w:pPr>
        <w:jc w:val="both"/>
        <w:rPr>
          <w:szCs w:val="25"/>
        </w:rPr>
      </w:pPr>
      <w:r>
        <w:rPr>
          <w:szCs w:val="25"/>
        </w:rPr>
        <w:t xml:space="preserve">31. </w:t>
      </w:r>
      <w:r w:rsidRPr="00662BE8">
        <w:rPr>
          <w:szCs w:val="25"/>
        </w:rPr>
        <w:t>The present case, when examined in light of the above principles, makes it clear that the defect in the investigation or omission on the part of the investigating officer, cannot prove to be of any advantage to the accused. No doubt the investigating officer ought to have obtained serologists report both in respect of Ext. 2 and Ext. 5 and matched it with the blood group of the deceased. This is a definite lapse on the part of the investigating officer which cannot be overlooked by the Court, despite the fact that it finds no merit in the contention of the accused.</w:t>
      </w:r>
    </w:p>
    <w:p w:rsidR="00662BE8" w:rsidRPr="00662BE8" w:rsidRDefault="00662BE8" w:rsidP="00662BE8">
      <w:pPr>
        <w:jc w:val="both"/>
        <w:rPr>
          <w:szCs w:val="25"/>
        </w:rPr>
      </w:pPr>
      <w:r>
        <w:rPr>
          <w:szCs w:val="25"/>
        </w:rPr>
        <w:t>32.</w:t>
      </w:r>
      <w:r w:rsidRPr="00662BE8">
        <w:rPr>
          <w:szCs w:val="25"/>
        </w:rPr>
        <w:t xml:space="preserve"> For the reasons afore-recorded, we dismiss this appeal being without any merit. However, we direct the Director General of Police, Uttarakhand, to take disciplinary action against Sub-Inspector, Brahma Singh, PW6, whether he is in service or has since retired, for such serious lapse in conducting investigation.</w:t>
      </w:r>
    </w:p>
    <w:p w:rsidR="00662BE8" w:rsidRPr="00662BE8" w:rsidRDefault="00662BE8" w:rsidP="00662BE8">
      <w:pPr>
        <w:jc w:val="both"/>
        <w:rPr>
          <w:szCs w:val="25"/>
        </w:rPr>
      </w:pPr>
      <w:r>
        <w:rPr>
          <w:szCs w:val="25"/>
        </w:rPr>
        <w:t>33.</w:t>
      </w:r>
      <w:r w:rsidRPr="00662BE8">
        <w:rPr>
          <w:szCs w:val="25"/>
        </w:rPr>
        <w:t xml:space="preserve"> The Director General of Police shall take a disciplinary action against the said officer and if he has since retired, the action shall be taken with regard to deduction/stoppage of his pension in accordance with the service rules. The ground of limitation, if stated in the relevant rules, will not operate as the inquiry is being conducted under the direction of this Court. </w:t>
      </w:r>
    </w:p>
    <w:p w:rsidR="002A7B22" w:rsidRDefault="00662BE8" w:rsidP="00662BE8">
      <w:pPr>
        <w:jc w:val="both"/>
        <w:rPr>
          <w:i/>
          <w:szCs w:val="25"/>
        </w:rPr>
      </w:pPr>
      <w:r w:rsidRPr="00662BE8">
        <w:rPr>
          <w:i/>
          <w:szCs w:val="25"/>
        </w:rPr>
        <w:t>Judgment Referred</w:t>
      </w:r>
    </w:p>
    <w:p w:rsidR="00EF6F8F" w:rsidRPr="00EF6F8F" w:rsidRDefault="00EF6F8F" w:rsidP="00EF6F8F">
      <w:pPr>
        <w:spacing w:after="0" w:line="240" w:lineRule="auto"/>
        <w:jc w:val="both"/>
        <w:rPr>
          <w:i/>
          <w:sz w:val="22"/>
        </w:rPr>
      </w:pPr>
      <w:r w:rsidRPr="00EF6F8F">
        <w:rPr>
          <w:i/>
          <w:sz w:val="22"/>
          <w:vertAlign w:val="superscript"/>
        </w:rPr>
        <w:t>1</w:t>
      </w:r>
      <w:r w:rsidRPr="00EF6F8F">
        <w:rPr>
          <w:i/>
          <w:sz w:val="22"/>
        </w:rPr>
        <w:t>(1954 SCR 145</w:t>
      </w:r>
    </w:p>
    <w:p w:rsidR="00EF6F8F" w:rsidRPr="00EF6F8F" w:rsidRDefault="00EF6F8F" w:rsidP="00EF6F8F">
      <w:pPr>
        <w:spacing w:after="0" w:line="240" w:lineRule="auto"/>
        <w:jc w:val="both"/>
        <w:rPr>
          <w:i/>
          <w:sz w:val="22"/>
        </w:rPr>
      </w:pPr>
      <w:r w:rsidRPr="00EF6F8F">
        <w:rPr>
          <w:i/>
          <w:sz w:val="22"/>
          <w:vertAlign w:val="superscript"/>
        </w:rPr>
        <w:t>2</w:t>
      </w:r>
      <w:r w:rsidRPr="00EF6F8F">
        <w:rPr>
          <w:i/>
          <w:sz w:val="22"/>
        </w:rPr>
        <w:t>(2006) 4 SCC 512</w:t>
      </w:r>
    </w:p>
    <w:p w:rsidR="00EF6F8F" w:rsidRPr="00EF6F8F" w:rsidRDefault="00EF6F8F" w:rsidP="00EF6F8F">
      <w:pPr>
        <w:spacing w:after="0" w:line="240" w:lineRule="auto"/>
        <w:jc w:val="both"/>
        <w:rPr>
          <w:i/>
          <w:sz w:val="22"/>
        </w:rPr>
      </w:pPr>
      <w:r w:rsidRPr="00EF6F8F">
        <w:rPr>
          <w:i/>
          <w:sz w:val="22"/>
          <w:vertAlign w:val="superscript"/>
        </w:rPr>
        <w:t>3</w:t>
      </w:r>
      <w:r w:rsidRPr="00EF6F8F">
        <w:rPr>
          <w:i/>
          <w:sz w:val="22"/>
        </w:rPr>
        <w:t>(2008) 16 SCC 73</w:t>
      </w:r>
    </w:p>
    <w:p w:rsidR="00EF6F8F" w:rsidRPr="00EF6F8F" w:rsidRDefault="00EF6F8F" w:rsidP="00EF6F8F">
      <w:pPr>
        <w:spacing w:after="0" w:line="240" w:lineRule="auto"/>
        <w:jc w:val="both"/>
        <w:rPr>
          <w:i/>
          <w:sz w:val="22"/>
        </w:rPr>
      </w:pPr>
      <w:r w:rsidRPr="00EF6F8F">
        <w:rPr>
          <w:i/>
          <w:sz w:val="22"/>
          <w:vertAlign w:val="superscript"/>
        </w:rPr>
        <w:t>4</w:t>
      </w:r>
      <w:r w:rsidRPr="00EF6F8F">
        <w:rPr>
          <w:i/>
          <w:sz w:val="22"/>
        </w:rPr>
        <w:t>AIR 1965 SC 328</w:t>
      </w:r>
    </w:p>
    <w:p w:rsidR="00EF6F8F" w:rsidRPr="00EF6F8F" w:rsidRDefault="00EF6F8F" w:rsidP="00EF6F8F">
      <w:pPr>
        <w:spacing w:after="0" w:line="240" w:lineRule="auto"/>
        <w:jc w:val="both"/>
        <w:rPr>
          <w:i/>
          <w:sz w:val="22"/>
        </w:rPr>
      </w:pPr>
      <w:r w:rsidRPr="00EF6F8F">
        <w:rPr>
          <w:i/>
          <w:sz w:val="22"/>
          <w:vertAlign w:val="superscript"/>
        </w:rPr>
        <w:t>5</w:t>
      </w:r>
      <w:r w:rsidRPr="00EF6F8F">
        <w:rPr>
          <w:i/>
          <w:sz w:val="22"/>
        </w:rPr>
        <w:t>(2008) 16 SCC 99</w:t>
      </w:r>
    </w:p>
    <w:p w:rsidR="00EF6F8F" w:rsidRPr="00EF6F8F" w:rsidRDefault="00EF6F8F" w:rsidP="00EF6F8F">
      <w:pPr>
        <w:spacing w:after="0" w:line="240" w:lineRule="auto"/>
        <w:jc w:val="both"/>
        <w:rPr>
          <w:i/>
          <w:sz w:val="22"/>
        </w:rPr>
      </w:pPr>
      <w:r w:rsidRPr="00EF6F8F">
        <w:rPr>
          <w:i/>
          <w:sz w:val="22"/>
          <w:vertAlign w:val="superscript"/>
        </w:rPr>
        <w:t>6</w:t>
      </w:r>
      <w:r w:rsidRPr="00EF6F8F">
        <w:rPr>
          <w:i/>
          <w:sz w:val="22"/>
        </w:rPr>
        <w:t>(1998) 4 SCC 302</w:t>
      </w:r>
    </w:p>
    <w:p w:rsidR="00EF6F8F" w:rsidRPr="00EF6F8F" w:rsidRDefault="00EF6F8F" w:rsidP="00EF6F8F">
      <w:pPr>
        <w:spacing w:after="0" w:line="240" w:lineRule="auto"/>
        <w:jc w:val="both"/>
        <w:rPr>
          <w:i/>
          <w:sz w:val="22"/>
        </w:rPr>
      </w:pPr>
      <w:r w:rsidRPr="00EF6F8F">
        <w:rPr>
          <w:i/>
          <w:sz w:val="22"/>
          <w:vertAlign w:val="superscript"/>
        </w:rPr>
        <w:t>7</w:t>
      </w:r>
      <w:r w:rsidRPr="00EF6F8F">
        <w:rPr>
          <w:i/>
          <w:sz w:val="22"/>
        </w:rPr>
        <w:t>(2011) 7 SCC 421</w:t>
      </w:r>
    </w:p>
    <w:p w:rsidR="00EF6F8F" w:rsidRPr="00EF6F8F" w:rsidRDefault="00EF6F8F" w:rsidP="00EF6F8F">
      <w:pPr>
        <w:spacing w:after="0" w:line="240" w:lineRule="auto"/>
        <w:jc w:val="both"/>
        <w:rPr>
          <w:i/>
          <w:sz w:val="22"/>
        </w:rPr>
      </w:pPr>
      <w:r w:rsidRPr="00EF6F8F">
        <w:rPr>
          <w:i/>
          <w:sz w:val="22"/>
          <w:vertAlign w:val="superscript"/>
        </w:rPr>
        <w:t>8</w:t>
      </w:r>
      <w:r w:rsidRPr="00EF6F8F">
        <w:rPr>
          <w:i/>
          <w:sz w:val="22"/>
        </w:rPr>
        <w:t>2012 (7) SCALE 165</w:t>
      </w:r>
    </w:p>
    <w:p w:rsidR="00EF6F8F" w:rsidRPr="00EF6F8F" w:rsidRDefault="00EF6F8F" w:rsidP="00EF6F8F">
      <w:pPr>
        <w:spacing w:after="0" w:line="240" w:lineRule="auto"/>
        <w:jc w:val="both"/>
        <w:rPr>
          <w:i/>
          <w:sz w:val="22"/>
        </w:rPr>
      </w:pPr>
      <w:r w:rsidRPr="00EF6F8F">
        <w:rPr>
          <w:i/>
          <w:sz w:val="22"/>
          <w:vertAlign w:val="superscript"/>
        </w:rPr>
        <w:t>9</w:t>
      </w:r>
      <w:r w:rsidRPr="00EF6F8F">
        <w:rPr>
          <w:i/>
          <w:sz w:val="22"/>
        </w:rPr>
        <w:t>(1972) 3 SCC 613</w:t>
      </w:r>
    </w:p>
    <w:p w:rsidR="00EF6F8F" w:rsidRPr="00EF6F8F" w:rsidRDefault="00EF6F8F" w:rsidP="00EF6F8F">
      <w:pPr>
        <w:spacing w:after="0" w:line="240" w:lineRule="auto"/>
        <w:jc w:val="both"/>
        <w:rPr>
          <w:i/>
          <w:sz w:val="22"/>
        </w:rPr>
      </w:pPr>
      <w:r w:rsidRPr="00EF6F8F">
        <w:rPr>
          <w:i/>
          <w:sz w:val="22"/>
          <w:vertAlign w:val="superscript"/>
        </w:rPr>
        <w:t>10</w:t>
      </w:r>
      <w:r w:rsidRPr="00EF6F8F">
        <w:rPr>
          <w:i/>
          <w:sz w:val="22"/>
        </w:rPr>
        <w:t>(2004) 3 SCC 654</w:t>
      </w:r>
    </w:p>
    <w:p w:rsidR="00EF6F8F" w:rsidRPr="00EF6F8F" w:rsidRDefault="00EF6F8F" w:rsidP="00EF6F8F">
      <w:pPr>
        <w:spacing w:after="0" w:line="240" w:lineRule="auto"/>
        <w:jc w:val="both"/>
        <w:rPr>
          <w:i/>
          <w:sz w:val="22"/>
        </w:rPr>
      </w:pPr>
      <w:r w:rsidRPr="00EF6F8F">
        <w:rPr>
          <w:i/>
          <w:sz w:val="22"/>
          <w:vertAlign w:val="superscript"/>
        </w:rPr>
        <w:t>11</w:t>
      </w:r>
      <w:r w:rsidRPr="00EF6F8F">
        <w:rPr>
          <w:i/>
          <w:sz w:val="22"/>
        </w:rPr>
        <w:t>AIR 1999 SC 644</w:t>
      </w:r>
    </w:p>
    <w:p w:rsidR="00EF6F8F" w:rsidRPr="00EF6F8F" w:rsidRDefault="00EF6F8F" w:rsidP="00EF6F8F">
      <w:pPr>
        <w:spacing w:after="0" w:line="240" w:lineRule="auto"/>
        <w:jc w:val="both"/>
        <w:rPr>
          <w:i/>
          <w:sz w:val="22"/>
        </w:rPr>
      </w:pPr>
      <w:r w:rsidRPr="00EF6F8F">
        <w:rPr>
          <w:i/>
          <w:sz w:val="22"/>
          <w:vertAlign w:val="superscript"/>
        </w:rPr>
        <w:t>12</w:t>
      </w:r>
      <w:r w:rsidRPr="00EF6F8F">
        <w:rPr>
          <w:i/>
          <w:sz w:val="22"/>
        </w:rPr>
        <w:t>(2006) 3 SCC 374</w:t>
      </w:r>
    </w:p>
    <w:p w:rsidR="00EF6F8F" w:rsidRPr="00EF6F8F" w:rsidRDefault="00EF6F8F" w:rsidP="00EF6F8F">
      <w:pPr>
        <w:spacing w:after="0" w:line="240" w:lineRule="auto"/>
        <w:jc w:val="both"/>
        <w:rPr>
          <w:i/>
          <w:sz w:val="22"/>
        </w:rPr>
      </w:pPr>
      <w:r w:rsidRPr="00EF6F8F">
        <w:rPr>
          <w:i/>
          <w:sz w:val="22"/>
          <w:vertAlign w:val="superscript"/>
        </w:rPr>
        <w:t>13</w:t>
      </w:r>
      <w:r w:rsidRPr="00EF6F8F">
        <w:rPr>
          <w:i/>
          <w:sz w:val="22"/>
        </w:rPr>
        <w:t>(2009) 6 SCC 767</w:t>
      </w:r>
    </w:p>
    <w:p w:rsidR="00EF6F8F" w:rsidRPr="00EF6F8F" w:rsidRDefault="00EF6F8F" w:rsidP="00EF6F8F">
      <w:pPr>
        <w:spacing w:after="0" w:line="240" w:lineRule="auto"/>
        <w:jc w:val="both"/>
        <w:rPr>
          <w:i/>
          <w:sz w:val="22"/>
        </w:rPr>
      </w:pPr>
      <w:r w:rsidRPr="00EF6F8F">
        <w:rPr>
          <w:i/>
          <w:sz w:val="22"/>
          <w:vertAlign w:val="superscript"/>
        </w:rPr>
        <w:t>14</w:t>
      </w:r>
      <w:r w:rsidRPr="00EF6F8F">
        <w:rPr>
          <w:i/>
          <w:sz w:val="22"/>
        </w:rPr>
        <w:t>2000 SCC (Crl.) 61</w:t>
      </w:r>
    </w:p>
    <w:p w:rsidR="00EF6F8F" w:rsidRPr="00EF6F8F" w:rsidRDefault="00EF6F8F" w:rsidP="00EF6F8F">
      <w:pPr>
        <w:spacing w:after="0" w:line="240" w:lineRule="auto"/>
        <w:jc w:val="both"/>
        <w:rPr>
          <w:sz w:val="22"/>
        </w:rPr>
      </w:pPr>
      <w:r w:rsidRPr="00EF6F8F">
        <w:rPr>
          <w:sz w:val="22"/>
          <w:vertAlign w:val="superscript"/>
        </w:rPr>
        <w:lastRenderedPageBreak/>
        <w:t>15</w:t>
      </w:r>
      <w:r w:rsidRPr="00EF6F8F">
        <w:rPr>
          <w:sz w:val="22"/>
        </w:rPr>
        <w:t>(2004) 10 SCC 598</w:t>
      </w:r>
    </w:p>
    <w:p w:rsidR="00EF6F8F" w:rsidRPr="00EF6F8F" w:rsidRDefault="00EF6F8F" w:rsidP="00EF6F8F">
      <w:pPr>
        <w:spacing w:after="0" w:line="240" w:lineRule="auto"/>
        <w:jc w:val="both"/>
        <w:rPr>
          <w:i/>
          <w:sz w:val="22"/>
        </w:rPr>
      </w:pPr>
      <w:r w:rsidRPr="00EF6F8F">
        <w:rPr>
          <w:i/>
          <w:sz w:val="22"/>
          <w:vertAlign w:val="superscript"/>
        </w:rPr>
        <w:t>16</w:t>
      </w:r>
      <w:r w:rsidRPr="00EF6F8F">
        <w:rPr>
          <w:i/>
          <w:sz w:val="22"/>
        </w:rPr>
        <w:t>(1995) 5 SCC 518</w:t>
      </w:r>
    </w:p>
    <w:p w:rsidR="00EF6F8F" w:rsidRPr="00EF6F8F" w:rsidRDefault="00EF6F8F" w:rsidP="00EF6F8F">
      <w:pPr>
        <w:spacing w:after="0" w:line="240" w:lineRule="auto"/>
        <w:jc w:val="both"/>
        <w:rPr>
          <w:sz w:val="22"/>
        </w:rPr>
      </w:pPr>
      <w:r w:rsidRPr="00EF6F8F">
        <w:rPr>
          <w:i/>
          <w:sz w:val="22"/>
          <w:vertAlign w:val="superscript"/>
        </w:rPr>
        <w:t>17</w:t>
      </w:r>
      <w:r w:rsidRPr="00EF6F8F">
        <w:rPr>
          <w:i/>
          <w:sz w:val="22"/>
        </w:rPr>
        <w:t>(1992) 2 SCR 921</w:t>
      </w:r>
    </w:p>
    <w:p w:rsidR="00EF6F8F" w:rsidRPr="00EF6F8F" w:rsidRDefault="00EF6F8F" w:rsidP="00EF6F8F">
      <w:pPr>
        <w:spacing w:after="0" w:line="240" w:lineRule="auto"/>
        <w:jc w:val="both"/>
        <w:rPr>
          <w:i/>
          <w:sz w:val="22"/>
        </w:rPr>
      </w:pPr>
    </w:p>
    <w:sectPr w:rsidR="00EF6F8F" w:rsidRPr="00EF6F8F" w:rsidSect="00073BD1">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D6D" w:rsidRDefault="00AF0D6D" w:rsidP="00EF6F8F">
      <w:pPr>
        <w:spacing w:after="0" w:line="240" w:lineRule="auto"/>
      </w:pPr>
      <w:r>
        <w:separator/>
      </w:r>
    </w:p>
  </w:endnote>
  <w:endnote w:type="continuationSeparator" w:id="1">
    <w:p w:rsidR="00AF0D6D" w:rsidRDefault="00AF0D6D" w:rsidP="00EF6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2982411"/>
      <w:docPartObj>
        <w:docPartGallery w:val="Page Numbers (Bottom of Page)"/>
        <w:docPartUnique/>
      </w:docPartObj>
    </w:sdtPr>
    <w:sdtContent>
      <w:p w:rsidR="00EF6F8F" w:rsidRPr="00EF6F8F" w:rsidRDefault="00EF6F8F">
        <w:pPr>
          <w:pStyle w:val="Footer"/>
          <w:jc w:val="center"/>
          <w:rPr>
            <w:sz w:val="22"/>
          </w:rPr>
        </w:pPr>
        <w:r>
          <w:rPr>
            <w:sz w:val="22"/>
          </w:rPr>
          <w:t xml:space="preserve">                                                          </w:t>
        </w:r>
        <w:r w:rsidR="00104466" w:rsidRPr="00EF6F8F">
          <w:rPr>
            <w:sz w:val="22"/>
          </w:rPr>
          <w:fldChar w:fldCharType="begin"/>
        </w:r>
        <w:r w:rsidRPr="00EF6F8F">
          <w:rPr>
            <w:sz w:val="22"/>
          </w:rPr>
          <w:instrText xml:space="preserve"> PAGE   \* MERGEFORMAT </w:instrText>
        </w:r>
        <w:r w:rsidR="00104466" w:rsidRPr="00EF6F8F">
          <w:rPr>
            <w:sz w:val="22"/>
          </w:rPr>
          <w:fldChar w:fldCharType="separate"/>
        </w:r>
        <w:r w:rsidR="00073BD1">
          <w:rPr>
            <w:noProof/>
            <w:sz w:val="22"/>
          </w:rPr>
          <w:t>1</w:t>
        </w:r>
        <w:r w:rsidR="00104466" w:rsidRPr="00EF6F8F">
          <w:rPr>
            <w:sz w:val="22"/>
          </w:rPr>
          <w:fldChar w:fldCharType="end"/>
        </w:r>
        <w:r w:rsidRPr="00EF6F8F">
          <w:rPr>
            <w:sz w:val="22"/>
          </w:rPr>
          <w:t xml:space="preserve"> </w:t>
        </w:r>
        <w:r>
          <w:rPr>
            <w:sz w:val="22"/>
          </w:rPr>
          <w:t xml:space="preserve">                                                                        </w:t>
        </w:r>
        <w:r w:rsidRPr="00EF6F8F">
          <w:rPr>
            <w:sz w:val="22"/>
          </w:rPr>
          <w:t>SpotLaw</w:t>
        </w:r>
      </w:p>
    </w:sdtContent>
  </w:sdt>
  <w:p w:rsidR="00EF6F8F" w:rsidRPr="00EF6F8F" w:rsidRDefault="00EF6F8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D6D" w:rsidRDefault="00AF0D6D" w:rsidP="00EF6F8F">
      <w:pPr>
        <w:spacing w:after="0" w:line="240" w:lineRule="auto"/>
      </w:pPr>
      <w:r>
        <w:separator/>
      </w:r>
    </w:p>
  </w:footnote>
  <w:footnote w:type="continuationSeparator" w:id="1">
    <w:p w:rsidR="00AF0D6D" w:rsidRDefault="00AF0D6D" w:rsidP="00EF6F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662BE8"/>
    <w:rsid w:val="00073BD1"/>
    <w:rsid w:val="00104466"/>
    <w:rsid w:val="002A7B22"/>
    <w:rsid w:val="00612AF2"/>
    <w:rsid w:val="00662BE8"/>
    <w:rsid w:val="008E3D56"/>
    <w:rsid w:val="00A0030F"/>
    <w:rsid w:val="00AF0D6D"/>
    <w:rsid w:val="00EF6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6F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6F8F"/>
  </w:style>
  <w:style w:type="paragraph" w:styleId="Footer">
    <w:name w:val="footer"/>
    <w:basedOn w:val="Normal"/>
    <w:link w:val="FooterChar"/>
    <w:uiPriority w:val="99"/>
    <w:unhideWhenUsed/>
    <w:rsid w:val="00EF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F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4277</Words>
  <Characters>24383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2016-01-16T10:41:00Z</dcterms:created>
  <dcterms:modified xsi:type="dcterms:W3CDTF">2016-02-04T07:37:00Z</dcterms:modified>
</cp:coreProperties>
</file>