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ABC" w:rsidRDefault="008D5628">
      <w:pPr>
        <w:pStyle w:val="Bodytext20"/>
        <w:shd w:val="clear" w:color="auto" w:fill="auto"/>
        <w:spacing w:after="42" w:line="280" w:lineRule="exact"/>
        <w:ind w:left="20"/>
      </w:pPr>
      <w:r>
        <w:t>SUPREME COURT OF INDIA</w:t>
      </w:r>
    </w:p>
    <w:p w:rsidR="00CA4ABC" w:rsidRDefault="008D5628">
      <w:pPr>
        <w:pStyle w:val="Bodytext0"/>
        <w:shd w:val="clear" w:color="auto" w:fill="auto"/>
        <w:spacing w:before="0"/>
        <w:ind w:left="20"/>
      </w:pPr>
      <w:r>
        <w:t>Nazma</w:t>
      </w:r>
    </w:p>
    <w:p w:rsidR="00CA4ABC" w:rsidRDefault="008D5628">
      <w:pPr>
        <w:pStyle w:val="Bodytext0"/>
        <w:shd w:val="clear" w:color="auto" w:fill="auto"/>
        <w:spacing w:before="0"/>
        <w:ind w:left="20"/>
      </w:pPr>
      <w:r>
        <w:t>Vs.</w:t>
      </w:r>
    </w:p>
    <w:p w:rsidR="000D5BF4" w:rsidRDefault="008D5628">
      <w:pPr>
        <w:pStyle w:val="Bodytext0"/>
        <w:shd w:val="clear" w:color="auto" w:fill="auto"/>
        <w:spacing w:before="0"/>
        <w:ind w:left="20"/>
      </w:pPr>
      <w:r>
        <w:t xml:space="preserve">Javed @ Anjum </w:t>
      </w:r>
    </w:p>
    <w:p w:rsidR="000D5BF4" w:rsidRDefault="008D5628">
      <w:pPr>
        <w:pStyle w:val="Bodytext0"/>
        <w:shd w:val="clear" w:color="auto" w:fill="auto"/>
        <w:spacing w:before="0"/>
        <w:ind w:left="20"/>
      </w:pPr>
      <w:r>
        <w:t xml:space="preserve">Crl.A.No.1693 of 2012 </w:t>
      </w:r>
    </w:p>
    <w:p w:rsidR="00CA4ABC" w:rsidRDefault="008D5628">
      <w:pPr>
        <w:pStyle w:val="Bodytext0"/>
        <w:shd w:val="clear" w:color="auto" w:fill="auto"/>
        <w:spacing w:before="0"/>
        <w:ind w:left="20"/>
      </w:pPr>
      <w:r>
        <w:t>(K. S.Radhakrishnan and Dipak Misra JJ.)</w:t>
      </w:r>
    </w:p>
    <w:p w:rsidR="00CA4ABC" w:rsidRDefault="008D5628">
      <w:pPr>
        <w:pStyle w:val="Bodytext0"/>
        <w:shd w:val="clear" w:color="auto" w:fill="auto"/>
        <w:spacing w:before="0"/>
        <w:ind w:left="20"/>
      </w:pPr>
      <w:r>
        <w:t>19.10.2012</w:t>
      </w:r>
    </w:p>
    <w:p w:rsidR="00CA4ABC" w:rsidRDefault="008D5628">
      <w:pPr>
        <w:pStyle w:val="Bodytext20"/>
        <w:shd w:val="clear" w:color="auto" w:fill="auto"/>
        <w:spacing w:after="0" w:line="643" w:lineRule="exact"/>
        <w:ind w:left="20"/>
      </w:pPr>
      <w:r>
        <w:t>JUDGMENT</w:t>
      </w:r>
    </w:p>
    <w:p w:rsidR="00CA4ABC" w:rsidRDefault="000D5BF4">
      <w:pPr>
        <w:pStyle w:val="Bodytext20"/>
        <w:shd w:val="clear" w:color="auto" w:fill="auto"/>
        <w:spacing w:after="0" w:line="643" w:lineRule="exact"/>
        <w:ind w:left="20"/>
        <w:jc w:val="both"/>
      </w:pPr>
      <w:r>
        <w:t>K. S. Radhakrishnan, J.</w:t>
      </w:r>
    </w:p>
    <w:p w:rsidR="00CA4ABC" w:rsidRDefault="008D5628">
      <w:pPr>
        <w:pStyle w:val="Bodytext0"/>
        <w:numPr>
          <w:ilvl w:val="0"/>
          <w:numId w:val="1"/>
        </w:numPr>
        <w:shd w:val="clear" w:color="auto" w:fill="auto"/>
        <w:spacing w:before="0"/>
        <w:ind w:left="20"/>
        <w:jc w:val="both"/>
      </w:pPr>
      <w:r>
        <w:t xml:space="preserve"> Leave granted.</w:t>
      </w:r>
    </w:p>
    <w:p w:rsidR="00CA4ABC" w:rsidRDefault="008D5628">
      <w:pPr>
        <w:pStyle w:val="Bodytext0"/>
        <w:numPr>
          <w:ilvl w:val="0"/>
          <w:numId w:val="1"/>
        </w:numPr>
        <w:shd w:val="clear" w:color="auto" w:fill="auto"/>
        <w:spacing w:before="0" w:after="296" w:line="317" w:lineRule="exact"/>
        <w:ind w:left="20" w:right="40"/>
        <w:jc w:val="both"/>
      </w:pPr>
      <w:r>
        <w:t xml:space="preserve"> We are, in this appeal, concerned with the legality and propriety of an order passed by the High Court of Allahabad in a disposed of Criminal Miscellaneous Writ Petition.</w:t>
      </w:r>
    </w:p>
    <w:p w:rsidR="00CA4ABC" w:rsidRDefault="008D5628">
      <w:pPr>
        <w:pStyle w:val="Bodytext0"/>
        <w:numPr>
          <w:ilvl w:val="0"/>
          <w:numId w:val="1"/>
        </w:numPr>
        <w:shd w:val="clear" w:color="auto" w:fill="auto"/>
        <w:spacing w:before="0" w:after="300" w:line="322" w:lineRule="exact"/>
        <w:ind w:left="20" w:right="40"/>
        <w:jc w:val="both"/>
      </w:pPr>
      <w:r>
        <w:t xml:space="preserve"> Facts giving rise to this appeal are as follows: The marriage of the appellant and </w:t>
      </w:r>
      <w:r>
        <w:t>1st respondent took place in the year 1997 according to the Muslim rites and customs and out of that wedlock three children were born. According to the appellant, 1st respondent married again for a third time. During the subsistence of the appellant’s marr</w:t>
      </w:r>
      <w:r>
        <w:t>iage, 1st Respondent kept on harassing the appellant demanding dowry, which resulted in the lodgment of an F.I.R. by the appellant’s brother, being F.I.R. No. 72 of 2003, on 5.8.2003 and a case was registered under Sections 498-A, 323, 324, 504, 506 of the</w:t>
      </w:r>
      <w:r>
        <w:t xml:space="preserve"> Indian Penal Code (IPC) and Sections 3 and 4 of the Dowry Prohibition Act against 1st respondent and his family members. The case was later transferred to the Ladies Police Station, Rakab Ganj, Agra vide an order dated 12.9.2003 of the S.S.P., Agra.</w:t>
      </w:r>
    </w:p>
    <w:p w:rsidR="00CA4ABC" w:rsidRDefault="008D5628">
      <w:pPr>
        <w:pStyle w:val="Bodytext0"/>
        <w:numPr>
          <w:ilvl w:val="0"/>
          <w:numId w:val="1"/>
        </w:numPr>
        <w:shd w:val="clear" w:color="auto" w:fill="auto"/>
        <w:spacing w:before="0" w:line="322" w:lineRule="exact"/>
        <w:ind w:left="20"/>
      </w:pPr>
      <w:r>
        <w:t xml:space="preserve"> Family members of 1st respondent then approached the High Court of Allahabad and filed a Criminal Miscellaneous Writ Petition No. 5426 of 2003 for quashing the F.I.R. In that writ petition, the appellant was not made a party, but only her</w:t>
      </w:r>
    </w:p>
    <w:p w:rsidR="00CA4ABC" w:rsidRDefault="008D5628">
      <w:pPr>
        <w:pStyle w:val="Bodytext0"/>
        <w:shd w:val="clear" w:color="auto" w:fill="auto"/>
        <w:spacing w:before="0" w:after="300" w:line="322" w:lineRule="exact"/>
        <w:ind w:left="20" w:right="40"/>
        <w:jc w:val="both"/>
      </w:pPr>
      <w:r>
        <w:t>brother. The fam</w:t>
      </w:r>
      <w:r>
        <w:t xml:space="preserve">ily members of 1st respondent had submitted before the High Court that an amount of Rs.2,000/- per month would be deposited in the Court of the Chief Judicial Magistrate, until the conclusion of the trial and the appellant could withdraw the same. </w:t>
      </w:r>
      <w:r>
        <w:lastRenderedPageBreak/>
        <w:t>The High</w:t>
      </w:r>
      <w:r>
        <w:t xml:space="preserve"> Court on 17.9.2003 passed the following order: “Heard ld. Counsel for the petitioner and Ld. A.G.A.</w:t>
      </w:r>
    </w:p>
    <w:p w:rsidR="00CA4ABC" w:rsidRDefault="008D5628">
      <w:pPr>
        <w:pStyle w:val="Bodytext0"/>
        <w:shd w:val="clear" w:color="auto" w:fill="auto"/>
        <w:spacing w:before="0" w:after="300" w:line="322" w:lineRule="exact"/>
        <w:ind w:left="720" w:right="40"/>
        <w:jc w:val="both"/>
      </w:pPr>
      <w:r>
        <w:t>Learned counsel for the petitioner has agreed to deposit Rs.2,000/- (rupees two thousand only) per month on compassionate ground to be withdrawn by the wif</w:t>
      </w:r>
      <w:r>
        <w:t>e of the petitioner Smt. Nazma. The amount shall be deposited in the court of Chief Judicial Magistrate concerned until the conclusion of trial.</w:t>
      </w:r>
    </w:p>
    <w:p w:rsidR="00CA4ABC" w:rsidRDefault="008D5628">
      <w:pPr>
        <w:pStyle w:val="Bodytext0"/>
        <w:shd w:val="clear" w:color="auto" w:fill="auto"/>
        <w:spacing w:before="0" w:after="349" w:line="322" w:lineRule="exact"/>
        <w:ind w:left="720" w:right="40"/>
        <w:jc w:val="both"/>
      </w:pPr>
      <w:r>
        <w:t xml:space="preserve">In the above said facts and circumstances, since investigation is only with regard to the matter pertaining to </w:t>
      </w:r>
      <w:r>
        <w:t>the demand of dowry and some ancillary offences under Indian Penal Code, we are inclined to Interfere primarily with an intent to settle the dispute between the parties amicably. The arrest of the petitioners in case crime No.227 of 2003, under Sections 49</w:t>
      </w:r>
      <w:r>
        <w:t>8-A, 323, 324, 504, 506 IPC and Ss. 3 and 4 of D.P. Act, Police Station Achhnera, District Agra, shall not be effected until the conclusion of investigation or submission of the report under Section 173 Cr.P.C. with this direction the petition is finally d</w:t>
      </w:r>
      <w:r>
        <w:t>isposed of.”</w:t>
      </w:r>
    </w:p>
    <w:p w:rsidR="00CA4ABC" w:rsidRDefault="008D5628">
      <w:pPr>
        <w:pStyle w:val="Bodytext0"/>
        <w:shd w:val="clear" w:color="auto" w:fill="auto"/>
        <w:spacing w:before="0" w:after="313" w:line="260" w:lineRule="exact"/>
        <w:ind w:left="720"/>
        <w:jc w:val="both"/>
      </w:pPr>
      <w:r>
        <w:t>(emphasis added)</w:t>
      </w:r>
    </w:p>
    <w:p w:rsidR="00CA4ABC" w:rsidRDefault="008D5628">
      <w:pPr>
        <w:pStyle w:val="Bodytext0"/>
        <w:shd w:val="clear" w:color="auto" w:fill="auto"/>
        <w:spacing w:before="0" w:after="300" w:line="322" w:lineRule="exact"/>
        <w:ind w:left="20" w:right="40"/>
        <w:jc w:val="both"/>
      </w:pPr>
      <w:r>
        <w:t>The above order is seen passed by the High Court with the intention that the parties would settle their disputes amicably.</w:t>
      </w:r>
    </w:p>
    <w:p w:rsidR="00CA4ABC" w:rsidRDefault="008D5628">
      <w:pPr>
        <w:pStyle w:val="Bodytext0"/>
        <w:numPr>
          <w:ilvl w:val="0"/>
          <w:numId w:val="1"/>
        </w:numPr>
        <w:shd w:val="clear" w:color="auto" w:fill="auto"/>
        <w:tabs>
          <w:tab w:val="left" w:pos="366"/>
        </w:tabs>
        <w:spacing w:before="0" w:after="349" w:line="322" w:lineRule="exact"/>
        <w:ind w:left="20" w:right="40"/>
        <w:jc w:val="both"/>
      </w:pPr>
      <w:r>
        <w:t>1st respondent also filed a Criminal Miscellaneous Writ Petition No. 5877 of 2003 before the High Court</w:t>
      </w:r>
      <w:r>
        <w:t xml:space="preserve"> of Allahabad seeking identical reliefs. Writ petition was filed without making the appellant or his brother a party. Writ petition was disposed of by the High Court on 25.9.2003 stating that 1st respondent should not be arrested until the conclusion of th</w:t>
      </w:r>
      <w:r>
        <w:t>e investigation or submission of any report under Section 173 of the Code of Criminal Procedure (CrPC), the operative portion of the order reads as follows:</w:t>
      </w:r>
    </w:p>
    <w:p w:rsidR="00CA4ABC" w:rsidRDefault="008D5628">
      <w:pPr>
        <w:pStyle w:val="Bodytext0"/>
        <w:shd w:val="clear" w:color="auto" w:fill="auto"/>
        <w:spacing w:before="0" w:after="308" w:line="260" w:lineRule="exact"/>
        <w:ind w:left="720"/>
        <w:jc w:val="both"/>
      </w:pPr>
      <w:r>
        <w:t>Heard ld. Counsel for the petitioner and ld. A.G.A.</w:t>
      </w:r>
    </w:p>
    <w:p w:rsidR="00CA4ABC" w:rsidRDefault="008D5628">
      <w:pPr>
        <w:pStyle w:val="Bodytext0"/>
        <w:shd w:val="clear" w:color="auto" w:fill="auto"/>
        <w:spacing w:before="0" w:line="322" w:lineRule="exact"/>
        <w:ind w:left="720" w:right="40"/>
        <w:jc w:val="both"/>
      </w:pPr>
      <w:r>
        <w:t xml:space="preserve">The arrest of other family members has been </w:t>
      </w:r>
      <w:r>
        <w:t>stayed in Criminal Misc. Writ Petition No. 5426/2003 (Smt. Amana and others Vs. State of U.P. others). The said writ petition has been disposed of also with a direction to deposit</w:t>
      </w:r>
    </w:p>
    <w:p w:rsidR="00CA4ABC" w:rsidRDefault="008D5628">
      <w:pPr>
        <w:pStyle w:val="Bodytext0"/>
        <w:shd w:val="clear" w:color="auto" w:fill="auto"/>
        <w:spacing w:before="0" w:after="300" w:line="322" w:lineRule="exact"/>
        <w:ind w:left="740" w:right="40"/>
        <w:jc w:val="both"/>
      </w:pPr>
      <w:r>
        <w:t>Rs.2,000/- per month. This petition is on behalf of husband. The offences ar</w:t>
      </w:r>
      <w:r>
        <w:t>e under Section 498-A I.P.C. and some other ancillary offence under I.P.C. etc. photo copy of the order passed in the above said writ petition has been produced by learned counsel for the petitioner. It is placed on record.</w:t>
      </w:r>
    </w:p>
    <w:p w:rsidR="00CA4ABC" w:rsidRDefault="008D5628">
      <w:pPr>
        <w:pStyle w:val="Bodytext0"/>
        <w:shd w:val="clear" w:color="auto" w:fill="auto"/>
        <w:spacing w:before="0" w:after="349" w:line="322" w:lineRule="exact"/>
        <w:ind w:left="740" w:right="40"/>
        <w:jc w:val="both"/>
      </w:pPr>
      <w:r>
        <w:lastRenderedPageBreak/>
        <w:t xml:space="preserve">In this view of the matter, the </w:t>
      </w:r>
      <w:r>
        <w:t>arrest of the petitioner in case Crime No. 227 of 2003, under Sections 498-A, 323, 324, 504 and 506 IPC and Sections 3 and 4 of DP Act, P.S. Achhnera, district Agra, shall not be effected until the conclusion of investigation or submission of any report un</w:t>
      </w:r>
      <w:r>
        <w:t>der section 173 Cr.P.C.</w:t>
      </w:r>
    </w:p>
    <w:p w:rsidR="00CA4ABC" w:rsidRDefault="008D5628">
      <w:pPr>
        <w:pStyle w:val="Bodytext0"/>
        <w:shd w:val="clear" w:color="auto" w:fill="auto"/>
        <w:spacing w:before="0" w:after="313" w:line="260" w:lineRule="exact"/>
        <w:ind w:left="740"/>
        <w:jc w:val="both"/>
      </w:pPr>
      <w:r>
        <w:t>With this direction this petition is finally disposed of.”</w:t>
      </w:r>
    </w:p>
    <w:p w:rsidR="00CA4ABC" w:rsidRDefault="008D5628">
      <w:pPr>
        <w:pStyle w:val="Bodytext0"/>
        <w:numPr>
          <w:ilvl w:val="0"/>
          <w:numId w:val="1"/>
        </w:numPr>
        <w:shd w:val="clear" w:color="auto" w:fill="auto"/>
        <w:spacing w:before="0" w:after="300" w:line="322" w:lineRule="exact"/>
        <w:ind w:left="20" w:right="40"/>
        <w:jc w:val="both"/>
      </w:pPr>
      <w:r>
        <w:t xml:space="preserve"> The Investigating Officer then filed the report closing the investigation. Learned Chief Judicial Magistrate, however, took cognizance of the case and issued summons vide h</w:t>
      </w:r>
      <w:r>
        <w:t>is order dated 15.1.2004. 1st respondent challenged that order before the High Court of Allahabad in Revision Petition No. 694 of 2004 which was dismissed by the High Court on 24.2.2004 by the following order:</w:t>
      </w:r>
    </w:p>
    <w:p w:rsidR="00CA4ABC" w:rsidRDefault="008D5628">
      <w:pPr>
        <w:pStyle w:val="Bodytext0"/>
        <w:shd w:val="clear" w:color="auto" w:fill="auto"/>
        <w:spacing w:before="0" w:after="349" w:line="322" w:lineRule="exact"/>
        <w:ind w:left="740" w:right="40"/>
        <w:jc w:val="both"/>
      </w:pPr>
      <w:r>
        <w:t>“Having heard the learned counsel for the part</w:t>
      </w:r>
      <w:r>
        <w:t>ies, this revision petition is dismissed. However, in the interest of justice, I direct that if revisionist moves objections through counsel within two weeks against the impugned order, the same may be disposed of expeditiously and till the disposal of the</w:t>
      </w:r>
      <w:r>
        <w:t xml:space="preserve"> objection the revisionist shall not be arrested.”</w:t>
      </w:r>
    </w:p>
    <w:p w:rsidR="00CA4ABC" w:rsidRDefault="008D5628">
      <w:pPr>
        <w:pStyle w:val="Bodytext0"/>
        <w:shd w:val="clear" w:color="auto" w:fill="auto"/>
        <w:spacing w:before="0" w:after="317" w:line="260" w:lineRule="exact"/>
        <w:ind w:left="20"/>
        <w:jc w:val="both"/>
      </w:pPr>
      <w:r>
        <w:t>(emphasis added)</w:t>
      </w:r>
    </w:p>
    <w:p w:rsidR="00CA4ABC" w:rsidRDefault="008D5628">
      <w:pPr>
        <w:pStyle w:val="Bodytext0"/>
        <w:numPr>
          <w:ilvl w:val="0"/>
          <w:numId w:val="1"/>
        </w:numPr>
        <w:shd w:val="clear" w:color="auto" w:fill="auto"/>
        <w:spacing w:before="0" w:after="300" w:line="317" w:lineRule="exact"/>
        <w:ind w:left="20" w:right="40"/>
        <w:jc w:val="both"/>
      </w:pPr>
      <w:r>
        <w:t xml:space="preserve"> 1st respondent filed objections before the learned Magistrate on 5.3.2004 with a prayer for recalling the summoning order dated 15.1.2004.</w:t>
      </w:r>
    </w:p>
    <w:p w:rsidR="00CA4ABC" w:rsidRDefault="008D5628">
      <w:pPr>
        <w:pStyle w:val="Bodytext0"/>
        <w:numPr>
          <w:ilvl w:val="0"/>
          <w:numId w:val="1"/>
        </w:numPr>
        <w:shd w:val="clear" w:color="auto" w:fill="auto"/>
        <w:spacing w:before="0" w:after="300" w:line="317" w:lineRule="exact"/>
        <w:ind w:left="20" w:right="40"/>
        <w:jc w:val="both"/>
      </w:pPr>
      <w:r>
        <w:t xml:space="preserve"> 1st respondent then filed an application, Criminal Miscellaneous Application 133306 of 2004, in the disposed of Criminal Miscellaneous Writ Petition No. 5877 of 2003. The High Court allowed the application and passed the following order on 26.8.2004:</w:t>
      </w:r>
    </w:p>
    <w:p w:rsidR="00CA4ABC" w:rsidRDefault="008D5628">
      <w:pPr>
        <w:pStyle w:val="Bodytext0"/>
        <w:shd w:val="clear" w:color="auto" w:fill="auto"/>
        <w:spacing w:before="0" w:line="317" w:lineRule="exact"/>
        <w:ind w:left="740" w:right="40"/>
        <w:jc w:val="both"/>
      </w:pPr>
      <w:r>
        <w:t>“App</w:t>
      </w:r>
      <w:r>
        <w:t>lication is allowed. The accused was directed to deposit a sum of Rs.2,000/- per month until the conclusion of trial.</w:t>
      </w:r>
    </w:p>
    <w:p w:rsidR="00CA4ABC" w:rsidRDefault="008D5628">
      <w:pPr>
        <w:pStyle w:val="Bodytext0"/>
        <w:shd w:val="clear" w:color="auto" w:fill="auto"/>
        <w:spacing w:before="0" w:after="349" w:line="322" w:lineRule="exact"/>
        <w:ind w:left="760" w:right="40"/>
        <w:jc w:val="both"/>
      </w:pPr>
      <w:r>
        <w:t>Since the payment is to be made till the end of trial. We feel it expedient to stay their arrest until the conclusion of trial.”</w:t>
      </w:r>
    </w:p>
    <w:p w:rsidR="00CA4ABC" w:rsidRDefault="008D5628">
      <w:pPr>
        <w:pStyle w:val="Bodytext0"/>
        <w:shd w:val="clear" w:color="auto" w:fill="auto"/>
        <w:spacing w:before="0" w:after="313" w:line="260" w:lineRule="exact"/>
        <w:ind w:left="760"/>
        <w:jc w:val="both"/>
      </w:pPr>
      <w:r>
        <w:t>(emphasis</w:t>
      </w:r>
      <w:r>
        <w:t xml:space="preserve"> added)</w:t>
      </w:r>
    </w:p>
    <w:p w:rsidR="00CA4ABC" w:rsidRDefault="008D5628">
      <w:pPr>
        <w:pStyle w:val="Bodytext0"/>
        <w:shd w:val="clear" w:color="auto" w:fill="auto"/>
        <w:spacing w:before="0" w:after="300" w:line="322" w:lineRule="exact"/>
        <w:ind w:left="760" w:right="40"/>
        <w:jc w:val="both"/>
      </w:pPr>
      <w:r>
        <w:t>In that application, appellant was not made a party and the Court practically reviewed its earlier order dated 25.9.2003 and extended the stay of arrest until the conclusion of the trial. Earlier, by order dated 25.9.2003, the High Court had direct</w:t>
      </w:r>
      <w:r>
        <w:t xml:space="preserve">ed stay of arrest till the conclusion of the investigation or submission of any </w:t>
      </w:r>
      <w:r>
        <w:lastRenderedPageBreak/>
        <w:t>report under Section 173 CrPC and later vide order dated 26.8.2004, it was ordered that the 1st respondent should not be arrested until the conclusion of the trial. Against thi</w:t>
      </w:r>
      <w:r>
        <w:t>s order of the High Court, this appeal has been preferred by the appellant- wife.</w:t>
      </w:r>
    </w:p>
    <w:p w:rsidR="00CA4ABC" w:rsidRDefault="008D5628">
      <w:pPr>
        <w:pStyle w:val="Bodytext0"/>
        <w:numPr>
          <w:ilvl w:val="0"/>
          <w:numId w:val="1"/>
        </w:numPr>
        <w:shd w:val="clear" w:color="auto" w:fill="auto"/>
        <w:spacing w:before="0" w:after="300" w:line="322" w:lineRule="exact"/>
        <w:ind w:left="40" w:right="40"/>
        <w:jc w:val="both"/>
      </w:pPr>
      <w:r>
        <w:t xml:space="preserve"> Shri Shiv Ram Sharma, learned counsel appearing for the appellant, submitted that the High Court has committed a grave error in entertaining the criminal miscellaneous application in a disposed of criminal miscellaneous writ petition and granting relief t</w:t>
      </w:r>
      <w:r>
        <w:t>o 1st respondent. Learned counsel submitted that the practice of filing miscellaneous application in disposed of writ petitions are on the rise, in spite of the fact that this practice has been deprecated by this Court in various judgments. Reference was m</w:t>
      </w:r>
      <w:r>
        <w:t>ade to the judgment of this Court in Hari Singh Mann v. Harbhajan Singh Bajwa and Others (2001) 1 SCC 169. Learned counsel further submitted that the High Court, by granting stay of arrest, is depriving the trial Courts of its power to issue orders under S</w:t>
      </w:r>
      <w:r>
        <w:t>ection 439 CrPC. Learned counsel also submitted that the order of the High Court is also interfering with the powers of the Family Court in passing appropriate orders in the application filed under Section 125 CrPC.</w:t>
      </w:r>
    </w:p>
    <w:p w:rsidR="00CA4ABC" w:rsidRDefault="008D5628">
      <w:pPr>
        <w:pStyle w:val="Bodytext0"/>
        <w:numPr>
          <w:ilvl w:val="0"/>
          <w:numId w:val="1"/>
        </w:numPr>
        <w:shd w:val="clear" w:color="auto" w:fill="auto"/>
        <w:spacing w:before="0" w:line="322" w:lineRule="exact"/>
        <w:ind w:left="40" w:right="40"/>
        <w:jc w:val="both"/>
      </w:pPr>
      <w:r>
        <w:t xml:space="preserve"> Shri Arvind Kumar, learned counsel appe</w:t>
      </w:r>
      <w:r>
        <w:t>aring for the respondent, submitted that the High Court has only granted stay of the arrest of 1st respondent till the conclusion of the trial, consequently, no prejudice has been caused to the appellant. Further, it was also pointed out that 1st responden</w:t>
      </w:r>
      <w:r>
        <w:t>t is depositing the amount of Rs.2,000/- per month in the Court of Chief Judicial Magistrate, Agra, as directed by the High Court and that appellant has made an application for withdrawal of the said amount as well. Further, it was also stated that since t</w:t>
      </w:r>
      <w:r>
        <w:t>he appellant was not a party to the Criminal Writ Petition No. 5877 of 2003 as well as in Criminal Miscellaneous Application No. 133306 of 2004, this appeal preferred by the appellant is not maintainable.</w:t>
      </w:r>
    </w:p>
    <w:p w:rsidR="00CA4ABC" w:rsidRDefault="008D5628">
      <w:pPr>
        <w:pStyle w:val="Bodytext0"/>
        <w:numPr>
          <w:ilvl w:val="0"/>
          <w:numId w:val="1"/>
        </w:numPr>
        <w:shd w:val="clear" w:color="auto" w:fill="auto"/>
        <w:spacing w:before="0" w:after="300" w:line="322" w:lineRule="exact"/>
        <w:ind w:left="40" w:right="40"/>
        <w:jc w:val="both"/>
      </w:pPr>
      <w:r>
        <w:t xml:space="preserve"> We are of the view that the High Court has committ</w:t>
      </w:r>
      <w:r>
        <w:t>ed a grave error in entertaining the criminal miscellaneous application No. 133306 of 2004 in a disposed of Criminal Writ Petition No. 5877 of 2003. Criminal Writ Petition No. 5877 of 2003 was disposed of on 25.9.2003 directing that the 1st respondent shou</w:t>
      </w:r>
      <w:r>
        <w:t>ld not be arrested until the conclusion of the investigation or submission of any report under Section 173 CrPC. On an application filed by the 1st respondent in that writ petition, the High Court later passed an order on 26.8.2004 stating that the petitio</w:t>
      </w:r>
      <w:r>
        <w:t>ner therein (1st respondent) be not arrested until the conclusion of the trial. The practice of entertaining miscellaneous applications in disposed of writ petitions was deprecated by this Court in Hari Singh Mann (supra). Reference to the following paragr</w:t>
      </w:r>
      <w:r>
        <w:t>aph of that judgment is apposite:</w:t>
      </w:r>
    </w:p>
    <w:p w:rsidR="00CA4ABC" w:rsidRDefault="008D5628">
      <w:pPr>
        <w:pStyle w:val="Bodytext0"/>
        <w:shd w:val="clear" w:color="auto" w:fill="auto"/>
        <w:spacing w:before="0" w:after="300" w:line="322" w:lineRule="exact"/>
        <w:ind w:left="760" w:right="40"/>
        <w:jc w:val="both"/>
      </w:pPr>
      <w:r>
        <w:t xml:space="preserve">“8. We have noted with disgust that the impugned orders were passed completely </w:t>
      </w:r>
      <w:r>
        <w:lastRenderedPageBreak/>
        <w:t>ignoring the basic principles of criminal law. No review of an order is contemplated under the Code of Criminal Procedure. After the disposal o</w:t>
      </w:r>
      <w:r>
        <w:t>f the main petition on 7-1-1999, there was no lis pending in the High Court wherein the respondent could have filed any miscellaneous petition. The filing of a miscellaneous petition not referable to any provision of the Code of Criminal Procedure or the r</w:t>
      </w:r>
      <w:r>
        <w:t>ules of the court, cannot be resorted to as a substitute of fresh litigation. The record of the proceedings produced before us shows that directions in the case filed by the respondents were issued apparently without notice to any of the respondents in the</w:t>
      </w:r>
      <w:r>
        <w:t xml:space="preserve"> petition. Merely because Respondent 1 was an Advocate, did not justify the issuance of directions at his request without notice of the other side. The impugned orders dated 30-4-1999 and 21-7-1999 could not have been passed by the High Court under its inh</w:t>
      </w:r>
      <w:r>
        <w:t>erent power under Section 482 of the Code of Criminal Procedure. The practice of filing miscellaneous petitions after the disposal of the main case and issuance of fresh directions in such miscellaneous petitions by the High Court are unwarranted, not refe</w:t>
      </w:r>
      <w:r>
        <w:t>rable to any statutory provision and in substance the abuse of the process of the court.”</w:t>
      </w:r>
    </w:p>
    <w:p w:rsidR="00CA4ABC" w:rsidRDefault="008D5628">
      <w:pPr>
        <w:pStyle w:val="Bodytext0"/>
        <w:numPr>
          <w:ilvl w:val="0"/>
          <w:numId w:val="1"/>
        </w:numPr>
        <w:shd w:val="clear" w:color="auto" w:fill="auto"/>
        <w:spacing w:before="0" w:line="322" w:lineRule="exact"/>
        <w:ind w:left="40" w:right="40"/>
        <w:jc w:val="both"/>
      </w:pPr>
      <w:r>
        <w:t xml:space="preserve"> We are sorry to note that in spite of the clear pronouncement of law by this Court, still, the High Courts are passing the similar orders, which practice has to be d</w:t>
      </w:r>
      <w:r>
        <w:t>eprecated in the strongest terms. Of late, we notice that the High Courts are entertaining writ petitions under Articles 226 and 227 of the Constitution, so also under Section 482 CrPC and passing and interfering with various orders granting or rejecting r</w:t>
      </w:r>
      <w:r>
        <w:t>equest for bail, which is the function of ordinary Criminal Court. The jurisdiction vested on the High Court under Articles 226 and 227 of the</w:t>
      </w:r>
    </w:p>
    <w:p w:rsidR="00CA4ABC" w:rsidRDefault="008D5628">
      <w:pPr>
        <w:pStyle w:val="Bodytext0"/>
        <w:shd w:val="clear" w:color="auto" w:fill="auto"/>
        <w:spacing w:before="0" w:after="300" w:line="322" w:lineRule="exact"/>
        <w:ind w:left="20" w:right="20"/>
        <w:jc w:val="both"/>
      </w:pPr>
      <w:r>
        <w:t xml:space="preserve">Constitution as well as Section 482 CrPC are all exceptional in nature and to be used in most exceptional cases. </w:t>
      </w:r>
      <w:r>
        <w:t>The jurisdiction under Section 439 CrPC is also discretionary and it is required to be exercised with great care and caution.</w:t>
      </w:r>
    </w:p>
    <w:p w:rsidR="00CA4ABC" w:rsidRDefault="008D5628">
      <w:pPr>
        <w:pStyle w:val="Bodytext0"/>
        <w:numPr>
          <w:ilvl w:val="0"/>
          <w:numId w:val="1"/>
        </w:numPr>
        <w:shd w:val="clear" w:color="auto" w:fill="auto"/>
        <w:spacing w:before="0" w:after="300" w:line="322" w:lineRule="exact"/>
        <w:ind w:left="20" w:right="20"/>
        <w:jc w:val="both"/>
      </w:pPr>
      <w:r>
        <w:t xml:space="preserve"> We are of the view that the High Court has committed a grave error in not only entertaining the criminal miscellaneous applicatio</w:t>
      </w:r>
      <w:r>
        <w:t>n in a disposed of writ petition, but also passing an order not to arrest the 1st respondent till the conclusion of the trial. Grant of bail or not to grant, is within the powers of the regular Criminal Court and the High Court, in its inherent jurisdictio</w:t>
      </w:r>
      <w:r>
        <w:t>n, not justified in usurping their powers. Once the criminal writ petition has been disposed of, the High Court becomes functus officio and cannot entertain review petitions or miscellaneous applications except for carrying out typographical or clerical er</w:t>
      </w:r>
      <w:r>
        <w:t>rors. In the instant case, the High Court has entertained a petition in a disposed of criminal writ petition and granted reliefs, which is impermissible in law.</w:t>
      </w:r>
    </w:p>
    <w:p w:rsidR="00CA4ABC" w:rsidRDefault="008D5628">
      <w:pPr>
        <w:pStyle w:val="Bodytext0"/>
        <w:numPr>
          <w:ilvl w:val="0"/>
          <w:numId w:val="1"/>
        </w:numPr>
        <w:shd w:val="clear" w:color="auto" w:fill="auto"/>
        <w:spacing w:before="0" w:line="322" w:lineRule="exact"/>
        <w:ind w:left="20" w:right="20"/>
        <w:jc w:val="both"/>
      </w:pPr>
      <w:r>
        <w:t xml:space="preserve"> We are, therefore, inclined to allow this appeal and set aside the impugned order </w:t>
      </w:r>
      <w:r>
        <w:lastRenderedPageBreak/>
        <w:t>passed by th</w:t>
      </w:r>
      <w:r>
        <w:t>e High Court, with costs of Rs.25,000/- to be paid by 1st respondent to the appellant, within a period of two months.</w:t>
      </w:r>
    </w:p>
    <w:sectPr w:rsidR="00CA4ABC" w:rsidSect="00CA4ABC">
      <w:footerReference w:type="default" r:id="rId7"/>
      <w:type w:val="continuous"/>
      <w:pgSz w:w="12240" w:h="15840"/>
      <w:pgMar w:top="1360" w:right="1402" w:bottom="1965"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628" w:rsidRDefault="008D5628" w:rsidP="00CA4ABC">
      <w:r>
        <w:separator/>
      </w:r>
    </w:p>
  </w:endnote>
  <w:endnote w:type="continuationSeparator" w:id="1">
    <w:p w:rsidR="008D5628" w:rsidRDefault="008D5628" w:rsidP="00CA4ABC">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ABC" w:rsidRDefault="00CA4ABC">
    <w:pPr>
      <w:rPr>
        <w:sz w:val="2"/>
        <w:szCs w:val="2"/>
      </w:rPr>
    </w:pPr>
    <w:r w:rsidRPr="00CA4ABC">
      <w:pict>
        <v:shapetype id="_x0000_t202" coordsize="21600,21600" o:spt="202" path="m,l,21600r21600,l21600,xe">
          <v:stroke joinstyle="miter"/>
          <v:path gradientshapeok="t" o:connecttype="rect"/>
        </v:shapetype>
        <v:shape id="_x0000_s1025" type="#_x0000_t202" style="position:absolute;margin-left:71.85pt;margin-top:713.85pt;width:467.5pt;height:11.05pt;z-index:-251658752;mso-wrap-distance-left:5pt;mso-wrap-distance-right:5pt;mso-position-horizontal-relative:page;mso-position-vertical-relative:page" wrapcoords="0 0" filled="f" stroked="f">
          <v:textbox style="mso-fit-shape-to-text:t" inset="0,0,0,0">
            <w:txbxContent>
              <w:p w:rsidR="00CA4ABC" w:rsidRDefault="008D5628">
                <w:pPr>
                  <w:pStyle w:val="Headerorfooter0"/>
                  <w:shd w:val="clear" w:color="auto" w:fill="auto"/>
                  <w:tabs>
                    <w:tab w:val="right" w:pos="5323"/>
                    <w:tab w:val="right" w:pos="9350"/>
                  </w:tabs>
                  <w:spacing w:line="240" w:lineRule="auto"/>
                </w:pPr>
                <w:r>
                  <w:rPr>
                    <w:rStyle w:val="Headerorfooter1"/>
                  </w:rPr>
                  <w:t>Law Information Center</w:t>
                </w:r>
                <w:r>
                  <w:rPr>
                    <w:rStyle w:val="Headerorfooter1"/>
                  </w:rPr>
                  <w:tab/>
                </w:r>
                <w:fldSimple w:instr=" PAGE \* MERGEFORMAT ">
                  <w:r w:rsidR="000D5BF4" w:rsidRPr="000D5BF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628" w:rsidRDefault="008D5628"/>
  </w:footnote>
  <w:footnote w:type="continuationSeparator" w:id="1">
    <w:p w:rsidR="008D5628" w:rsidRDefault="008D562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C0A3D"/>
    <w:multiLevelType w:val="multilevel"/>
    <w:tmpl w:val="D94CF02E"/>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A4ABC"/>
    <w:rsid w:val="000D5BF4"/>
    <w:rsid w:val="008D5628"/>
    <w:rsid w:val="00CA4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4AB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4ABC"/>
    <w:rPr>
      <w:color w:val="0066CC"/>
      <w:u w:val="single"/>
    </w:rPr>
  </w:style>
  <w:style w:type="character" w:customStyle="1" w:styleId="Bodytext2">
    <w:name w:val="Body text (2)_"/>
    <w:basedOn w:val="DefaultParagraphFont"/>
    <w:link w:val="Bodytext20"/>
    <w:rsid w:val="00CA4ABC"/>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CA4ABC"/>
    <w:rPr>
      <w:rFonts w:ascii="David" w:eastAsia="David" w:hAnsi="David" w:cs="David"/>
      <w:b w:val="0"/>
      <w:bCs w:val="0"/>
      <w:i w:val="0"/>
      <w:iCs w:val="0"/>
      <w:smallCaps w:val="0"/>
      <w:strike w:val="0"/>
      <w:sz w:val="23"/>
      <w:szCs w:val="23"/>
      <w:u w:val="none"/>
    </w:rPr>
  </w:style>
  <w:style w:type="character" w:customStyle="1" w:styleId="Headerorfooter1">
    <w:name w:val="Header or footer"/>
    <w:basedOn w:val="Headerorfooter"/>
    <w:rsid w:val="00CA4ABC"/>
    <w:rPr>
      <w:color w:val="000000"/>
      <w:spacing w:val="0"/>
      <w:w w:val="100"/>
      <w:position w:val="0"/>
      <w:lang w:val="en-US" w:eastAsia="en-US" w:bidi="en-US"/>
    </w:rPr>
  </w:style>
  <w:style w:type="character" w:customStyle="1" w:styleId="Bodytext">
    <w:name w:val="Body text_"/>
    <w:basedOn w:val="DefaultParagraphFont"/>
    <w:link w:val="Bodytext0"/>
    <w:rsid w:val="00CA4ABC"/>
    <w:rPr>
      <w:rFonts w:ascii="David" w:eastAsia="David" w:hAnsi="David" w:cs="David"/>
      <w:b w:val="0"/>
      <w:bCs w:val="0"/>
      <w:i w:val="0"/>
      <w:iCs w:val="0"/>
      <w:smallCaps w:val="0"/>
      <w:strike w:val="0"/>
      <w:sz w:val="26"/>
      <w:szCs w:val="26"/>
      <w:u w:val="none"/>
    </w:rPr>
  </w:style>
  <w:style w:type="paragraph" w:customStyle="1" w:styleId="Bodytext20">
    <w:name w:val="Body text (2)"/>
    <w:basedOn w:val="Normal"/>
    <w:link w:val="Bodytext2"/>
    <w:rsid w:val="00CA4ABC"/>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CA4ABC"/>
    <w:pPr>
      <w:shd w:val="clear" w:color="auto" w:fill="FFFFFF"/>
      <w:spacing w:line="0" w:lineRule="atLeast"/>
    </w:pPr>
    <w:rPr>
      <w:rFonts w:ascii="David" w:eastAsia="David" w:hAnsi="David" w:cs="David"/>
      <w:sz w:val="23"/>
      <w:szCs w:val="23"/>
    </w:rPr>
  </w:style>
  <w:style w:type="paragraph" w:customStyle="1" w:styleId="Bodytext0">
    <w:name w:val="Body text"/>
    <w:basedOn w:val="Normal"/>
    <w:link w:val="Bodytext"/>
    <w:rsid w:val="00CA4ABC"/>
    <w:pPr>
      <w:shd w:val="clear" w:color="auto" w:fill="FFFFFF"/>
      <w:spacing w:before="420" w:line="643" w:lineRule="exact"/>
      <w:jc w:val="center"/>
    </w:pPr>
    <w:rPr>
      <w:rFonts w:ascii="David" w:eastAsia="David" w:hAnsi="David" w:cs="David"/>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10288</Characters>
  <Application>Microsoft Office Word</Application>
  <DocSecurity>0</DocSecurity>
  <Lines>85</Lines>
  <Paragraphs>24</Paragraphs>
  <ScaleCrop>false</ScaleCrop>
  <Company/>
  <LinksUpToDate>false</LinksUpToDate>
  <CharactersWithSpaces>12068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2017-06-28T12:20:00Z</dcterms:created>
  <dcterms:modified xsi:type="dcterms:W3CDTF">2017-06-28T12:20:00Z</dcterms:modified>
</cp:coreProperties>
</file>