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43" w:rsidRDefault="00E5051B" w:rsidP="00846792">
      <w:pPr>
        <w:pStyle w:val="Bodytext20"/>
        <w:shd w:val="clear" w:color="auto" w:fill="auto"/>
        <w:spacing w:after="0" w:line="240" w:lineRule="auto"/>
        <w:ind w:left="40"/>
        <w:rPr>
          <w:rFonts w:ascii="Times New Roman" w:hAnsi="Times New Roman" w:cs="Times New Roman"/>
          <w:sz w:val="25"/>
          <w:szCs w:val="25"/>
        </w:rPr>
      </w:pPr>
      <w:r w:rsidRPr="00846792">
        <w:rPr>
          <w:rFonts w:ascii="Times New Roman" w:hAnsi="Times New Roman" w:cs="Times New Roman"/>
          <w:sz w:val="25"/>
          <w:szCs w:val="25"/>
        </w:rPr>
        <w:t>SUPREME COURT OF INDIA</w:t>
      </w:r>
    </w:p>
    <w:p w:rsidR="00846792" w:rsidRPr="00846792" w:rsidRDefault="00846792" w:rsidP="00846792">
      <w:pPr>
        <w:pStyle w:val="Bodytext20"/>
        <w:shd w:val="clear" w:color="auto" w:fill="auto"/>
        <w:spacing w:after="0" w:line="240" w:lineRule="auto"/>
        <w:ind w:left="40"/>
        <w:rPr>
          <w:rFonts w:ascii="Times New Roman" w:hAnsi="Times New Roman" w:cs="Times New Roman"/>
          <w:sz w:val="25"/>
          <w:szCs w:val="25"/>
        </w:rPr>
      </w:pPr>
    </w:p>
    <w:p w:rsidR="00846792" w:rsidRDefault="00E5051B" w:rsidP="00846792">
      <w:pPr>
        <w:pStyle w:val="Bodytext0"/>
        <w:shd w:val="clear" w:color="auto" w:fill="auto"/>
        <w:spacing w:before="0" w:line="240" w:lineRule="auto"/>
        <w:ind w:left="40"/>
        <w:rPr>
          <w:rFonts w:ascii="Times New Roman" w:hAnsi="Times New Roman" w:cs="Times New Roman"/>
          <w:sz w:val="25"/>
          <w:szCs w:val="25"/>
        </w:rPr>
      </w:pPr>
      <w:r w:rsidRPr="00846792">
        <w:rPr>
          <w:rFonts w:ascii="Times New Roman" w:hAnsi="Times New Roman" w:cs="Times New Roman"/>
          <w:sz w:val="25"/>
          <w:szCs w:val="25"/>
        </w:rPr>
        <w:t xml:space="preserve">Jasarvinder Singh </w:t>
      </w:r>
    </w:p>
    <w:p w:rsidR="00846792" w:rsidRPr="00846792" w:rsidRDefault="00846792" w:rsidP="00846792">
      <w:pPr>
        <w:pStyle w:val="Bodytext0"/>
        <w:shd w:val="clear" w:color="auto" w:fill="auto"/>
        <w:spacing w:before="0" w:line="240" w:lineRule="auto"/>
        <w:ind w:left="40"/>
        <w:rPr>
          <w:rFonts w:ascii="Times New Roman" w:hAnsi="Times New Roman" w:cs="Times New Roman"/>
          <w:sz w:val="25"/>
          <w:szCs w:val="25"/>
        </w:rPr>
      </w:pPr>
    </w:p>
    <w:p w:rsidR="00B10D43" w:rsidRDefault="00E5051B" w:rsidP="00846792">
      <w:pPr>
        <w:pStyle w:val="Bodytext0"/>
        <w:shd w:val="clear" w:color="auto" w:fill="auto"/>
        <w:spacing w:before="0" w:line="240" w:lineRule="auto"/>
        <w:ind w:left="40"/>
        <w:rPr>
          <w:rFonts w:ascii="Times New Roman" w:hAnsi="Times New Roman" w:cs="Times New Roman"/>
          <w:sz w:val="25"/>
          <w:szCs w:val="25"/>
        </w:rPr>
      </w:pPr>
      <w:r w:rsidRPr="00846792">
        <w:rPr>
          <w:rFonts w:ascii="Times New Roman" w:hAnsi="Times New Roman" w:cs="Times New Roman"/>
          <w:sz w:val="25"/>
          <w:szCs w:val="25"/>
        </w:rPr>
        <w:t>Vs.</w:t>
      </w:r>
    </w:p>
    <w:p w:rsidR="00846792" w:rsidRPr="00846792" w:rsidRDefault="00846792" w:rsidP="00846792">
      <w:pPr>
        <w:pStyle w:val="Bodytext0"/>
        <w:shd w:val="clear" w:color="auto" w:fill="auto"/>
        <w:spacing w:before="0" w:line="240" w:lineRule="auto"/>
        <w:ind w:left="40"/>
        <w:rPr>
          <w:rFonts w:ascii="Times New Roman" w:hAnsi="Times New Roman" w:cs="Times New Roman"/>
          <w:sz w:val="25"/>
          <w:szCs w:val="25"/>
        </w:rPr>
      </w:pPr>
    </w:p>
    <w:p w:rsidR="00846792" w:rsidRDefault="00E5051B" w:rsidP="00846792">
      <w:pPr>
        <w:pStyle w:val="Bodytext0"/>
        <w:shd w:val="clear" w:color="auto" w:fill="auto"/>
        <w:spacing w:before="0" w:line="240" w:lineRule="auto"/>
        <w:ind w:left="20"/>
        <w:rPr>
          <w:rFonts w:ascii="Times New Roman" w:hAnsi="Times New Roman" w:cs="Times New Roman"/>
          <w:sz w:val="25"/>
          <w:szCs w:val="25"/>
        </w:rPr>
      </w:pPr>
      <w:r w:rsidRPr="00846792">
        <w:rPr>
          <w:rFonts w:ascii="Times New Roman" w:hAnsi="Times New Roman" w:cs="Times New Roman"/>
          <w:sz w:val="25"/>
          <w:szCs w:val="25"/>
        </w:rPr>
        <w:t>President, Land Acquisition Tribunal</w:t>
      </w:r>
    </w:p>
    <w:p w:rsidR="00846792" w:rsidRPr="00846792" w:rsidRDefault="00846792" w:rsidP="00846792">
      <w:pPr>
        <w:pStyle w:val="Bodytext0"/>
        <w:shd w:val="clear" w:color="auto" w:fill="auto"/>
        <w:spacing w:before="0" w:line="240" w:lineRule="auto"/>
        <w:ind w:left="20"/>
        <w:rPr>
          <w:rFonts w:ascii="Times New Roman" w:hAnsi="Times New Roman" w:cs="Times New Roman"/>
          <w:sz w:val="25"/>
          <w:szCs w:val="25"/>
        </w:rPr>
      </w:pPr>
    </w:p>
    <w:p w:rsidR="00846792" w:rsidRDefault="00E5051B" w:rsidP="00846792">
      <w:pPr>
        <w:pStyle w:val="Bodytext0"/>
        <w:shd w:val="clear" w:color="auto" w:fill="auto"/>
        <w:spacing w:before="0" w:line="240" w:lineRule="auto"/>
        <w:ind w:left="20"/>
        <w:rPr>
          <w:rFonts w:ascii="Times New Roman" w:hAnsi="Times New Roman" w:cs="Times New Roman"/>
          <w:sz w:val="25"/>
          <w:szCs w:val="25"/>
        </w:rPr>
      </w:pPr>
      <w:r w:rsidRPr="00846792">
        <w:rPr>
          <w:rFonts w:ascii="Times New Roman" w:hAnsi="Times New Roman" w:cs="Times New Roman"/>
          <w:sz w:val="25"/>
          <w:szCs w:val="25"/>
        </w:rPr>
        <w:t xml:space="preserve"> C.A.Nos.7800-7802 of 2012 </w:t>
      </w:r>
    </w:p>
    <w:p w:rsidR="00846792" w:rsidRPr="00846792" w:rsidRDefault="00846792" w:rsidP="00846792">
      <w:pPr>
        <w:pStyle w:val="Bodytext0"/>
        <w:shd w:val="clear" w:color="auto" w:fill="auto"/>
        <w:spacing w:before="0" w:line="240" w:lineRule="auto"/>
        <w:ind w:left="20"/>
        <w:rPr>
          <w:rFonts w:ascii="Times New Roman" w:hAnsi="Times New Roman" w:cs="Times New Roman"/>
          <w:sz w:val="25"/>
          <w:szCs w:val="25"/>
        </w:rPr>
      </w:pPr>
    </w:p>
    <w:p w:rsidR="00B10D43" w:rsidRDefault="00E5051B" w:rsidP="00846792">
      <w:pPr>
        <w:pStyle w:val="Bodytext0"/>
        <w:shd w:val="clear" w:color="auto" w:fill="auto"/>
        <w:spacing w:before="0" w:line="240" w:lineRule="auto"/>
        <w:ind w:left="20"/>
        <w:rPr>
          <w:rFonts w:ascii="Times New Roman" w:hAnsi="Times New Roman" w:cs="Times New Roman"/>
          <w:sz w:val="25"/>
          <w:szCs w:val="25"/>
        </w:rPr>
      </w:pPr>
      <w:r w:rsidRPr="00846792">
        <w:rPr>
          <w:rFonts w:ascii="Times New Roman" w:hAnsi="Times New Roman" w:cs="Times New Roman"/>
          <w:sz w:val="25"/>
          <w:szCs w:val="25"/>
        </w:rPr>
        <w:t>(G.S.Singhvi and Sudhansu Jyoti Mukhopadhaya JJ.)</w:t>
      </w:r>
    </w:p>
    <w:p w:rsidR="00846792" w:rsidRPr="00846792" w:rsidRDefault="00846792" w:rsidP="00846792">
      <w:pPr>
        <w:pStyle w:val="Bodytext0"/>
        <w:shd w:val="clear" w:color="auto" w:fill="auto"/>
        <w:spacing w:before="0" w:line="240" w:lineRule="auto"/>
        <w:ind w:left="20"/>
        <w:rPr>
          <w:rFonts w:ascii="Times New Roman" w:hAnsi="Times New Roman" w:cs="Times New Roman"/>
          <w:sz w:val="25"/>
          <w:szCs w:val="25"/>
        </w:rPr>
      </w:pPr>
    </w:p>
    <w:p w:rsidR="00B10D43" w:rsidRDefault="00E5051B" w:rsidP="00846792">
      <w:pPr>
        <w:pStyle w:val="Bodytext0"/>
        <w:shd w:val="clear" w:color="auto" w:fill="auto"/>
        <w:spacing w:before="0" w:line="240" w:lineRule="auto"/>
        <w:ind w:left="20"/>
        <w:rPr>
          <w:rFonts w:ascii="Times New Roman" w:hAnsi="Times New Roman" w:cs="Times New Roman"/>
          <w:sz w:val="25"/>
          <w:szCs w:val="25"/>
        </w:rPr>
      </w:pPr>
      <w:r w:rsidRPr="00846792">
        <w:rPr>
          <w:rFonts w:ascii="Times New Roman" w:hAnsi="Times New Roman" w:cs="Times New Roman"/>
          <w:sz w:val="25"/>
          <w:szCs w:val="25"/>
        </w:rPr>
        <w:t>09.11.2012</w:t>
      </w:r>
    </w:p>
    <w:p w:rsidR="00846792" w:rsidRPr="00846792" w:rsidRDefault="00846792" w:rsidP="00846792">
      <w:pPr>
        <w:pStyle w:val="Bodytext0"/>
        <w:shd w:val="clear" w:color="auto" w:fill="auto"/>
        <w:spacing w:before="0" w:line="240" w:lineRule="auto"/>
        <w:ind w:left="20"/>
        <w:rPr>
          <w:rFonts w:ascii="Times New Roman" w:hAnsi="Times New Roman" w:cs="Times New Roman"/>
          <w:sz w:val="25"/>
          <w:szCs w:val="25"/>
        </w:rPr>
      </w:pPr>
    </w:p>
    <w:p w:rsidR="00B10D43" w:rsidRDefault="00E5051B" w:rsidP="00846792">
      <w:pPr>
        <w:pStyle w:val="Bodytext20"/>
        <w:shd w:val="clear" w:color="auto" w:fill="auto"/>
        <w:spacing w:after="0" w:line="240" w:lineRule="auto"/>
        <w:ind w:left="20"/>
        <w:rPr>
          <w:rFonts w:ascii="Times New Roman" w:hAnsi="Times New Roman" w:cs="Times New Roman"/>
          <w:sz w:val="25"/>
          <w:szCs w:val="25"/>
        </w:rPr>
      </w:pPr>
      <w:r w:rsidRPr="00846792">
        <w:rPr>
          <w:rFonts w:ascii="Times New Roman" w:hAnsi="Times New Roman" w:cs="Times New Roman"/>
          <w:sz w:val="25"/>
          <w:szCs w:val="25"/>
        </w:rPr>
        <w:t>JUDGMENT</w:t>
      </w:r>
    </w:p>
    <w:p w:rsidR="00846792" w:rsidRPr="00846792" w:rsidRDefault="00846792" w:rsidP="00846792">
      <w:pPr>
        <w:pStyle w:val="Bodytext20"/>
        <w:shd w:val="clear" w:color="auto" w:fill="auto"/>
        <w:spacing w:after="0" w:line="240" w:lineRule="auto"/>
        <w:ind w:left="20"/>
        <w:rPr>
          <w:rFonts w:ascii="Times New Roman" w:hAnsi="Times New Roman" w:cs="Times New Roman"/>
          <w:sz w:val="25"/>
          <w:szCs w:val="25"/>
        </w:rPr>
      </w:pPr>
    </w:p>
    <w:p w:rsidR="00B10D43" w:rsidRDefault="00846792" w:rsidP="00846792">
      <w:pPr>
        <w:pStyle w:val="Bodytext20"/>
        <w:shd w:val="clear" w:color="auto" w:fill="auto"/>
        <w:spacing w:after="0" w:line="240" w:lineRule="auto"/>
        <w:ind w:left="20"/>
        <w:jc w:val="both"/>
        <w:rPr>
          <w:rFonts w:ascii="Times New Roman" w:hAnsi="Times New Roman" w:cs="Times New Roman"/>
          <w:sz w:val="25"/>
          <w:szCs w:val="25"/>
        </w:rPr>
      </w:pPr>
      <w:r w:rsidRPr="00846792">
        <w:rPr>
          <w:rFonts w:ascii="Times New Roman" w:hAnsi="Times New Roman" w:cs="Times New Roman"/>
          <w:sz w:val="25"/>
          <w:szCs w:val="25"/>
        </w:rPr>
        <w:t>G. S. Singhvi, J.</w:t>
      </w:r>
    </w:p>
    <w:p w:rsidR="00846792" w:rsidRPr="00846792" w:rsidRDefault="00846792" w:rsidP="00846792">
      <w:pPr>
        <w:pStyle w:val="Bodytext20"/>
        <w:shd w:val="clear" w:color="auto" w:fill="auto"/>
        <w:spacing w:after="0" w:line="240" w:lineRule="auto"/>
        <w:ind w:left="20"/>
        <w:jc w:val="both"/>
        <w:rPr>
          <w:rFonts w:ascii="Times New Roman" w:hAnsi="Times New Roman" w:cs="Times New Roman"/>
          <w:sz w:val="25"/>
          <w:szCs w:val="25"/>
        </w:rPr>
      </w:pPr>
    </w:p>
    <w:p w:rsidR="00B10D43" w:rsidRPr="00846792" w:rsidRDefault="00E5051B" w:rsidP="00846792">
      <w:pPr>
        <w:pStyle w:val="Bodytext0"/>
        <w:numPr>
          <w:ilvl w:val="0"/>
          <w:numId w:val="1"/>
        </w:numPr>
        <w:shd w:val="clear" w:color="auto" w:fill="auto"/>
        <w:spacing w:before="0" w:line="240" w:lineRule="auto"/>
        <w:ind w:left="20"/>
        <w:rPr>
          <w:rFonts w:ascii="Times New Roman" w:hAnsi="Times New Roman" w:cs="Times New Roman"/>
          <w:sz w:val="25"/>
          <w:szCs w:val="25"/>
        </w:rPr>
      </w:pPr>
      <w:r w:rsidRPr="00846792">
        <w:rPr>
          <w:rFonts w:ascii="Times New Roman" w:hAnsi="Times New Roman" w:cs="Times New Roman"/>
          <w:sz w:val="25"/>
          <w:szCs w:val="25"/>
        </w:rPr>
        <w:t xml:space="preserve"> Feeling dissatisfied with the market rate fixed by the Division Bench of the Punjab and Haryana High Court in respect of their land acquired by Ludhiana Improvement Trust (for short, ‘the Trust’), the appellants have filed these appeals.</w:t>
      </w:r>
    </w:p>
    <w:p w:rsidR="00B10D43" w:rsidRPr="00846792" w:rsidRDefault="00E5051B">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846792">
        <w:rPr>
          <w:rFonts w:ascii="Times New Roman" w:hAnsi="Times New Roman" w:cs="Times New Roman"/>
          <w:sz w:val="25"/>
          <w:szCs w:val="25"/>
        </w:rPr>
        <w:t xml:space="preserve"> The appellants’ </w:t>
      </w:r>
      <w:r w:rsidRPr="00846792">
        <w:rPr>
          <w:rFonts w:ascii="Times New Roman" w:hAnsi="Times New Roman" w:cs="Times New Roman"/>
          <w:sz w:val="25"/>
          <w:szCs w:val="25"/>
        </w:rPr>
        <w:t>land was part of big chunk of land acquired by the Trust for implementing “100 Acres Development Scheme”. Notification under Section 36 of the Punjab Town Improvement Act, 1922 (for short, ‘the 1922 Act’) was issued on 11.8.1972 and objections were invited</w:t>
      </w:r>
      <w:r w:rsidRPr="00846792">
        <w:rPr>
          <w:rFonts w:ascii="Times New Roman" w:hAnsi="Times New Roman" w:cs="Times New Roman"/>
          <w:sz w:val="25"/>
          <w:szCs w:val="25"/>
        </w:rPr>
        <w:t xml:space="preserve"> against the scheme. The State Government accorded sanction vide Notification dated 18.9.1973 issued under Section 42 of the Act. The Land Acquisition Collector divided the acquired land into two Blocks, i.e. 'Block A’ and 'Block B’ and fixed market value </w:t>
      </w:r>
      <w:r w:rsidRPr="00846792">
        <w:rPr>
          <w:rFonts w:ascii="Times New Roman" w:hAnsi="Times New Roman" w:cs="Times New Roman"/>
          <w:sz w:val="25"/>
          <w:szCs w:val="25"/>
        </w:rPr>
        <w:t>of land comprised in 'Block A’ at the rate of Rs.113 per biswansi (Rs.15 per sq. yard). For the land comprised in Block 'B’, he fixed market value at the rate of Rs.75 per biswansi (Rs.10 per sq. yard).</w:t>
      </w:r>
    </w:p>
    <w:p w:rsidR="00B10D43" w:rsidRPr="00846792" w:rsidRDefault="00E5051B">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846792">
        <w:rPr>
          <w:rFonts w:ascii="Times New Roman" w:hAnsi="Times New Roman" w:cs="Times New Roman"/>
          <w:sz w:val="25"/>
          <w:szCs w:val="25"/>
        </w:rPr>
        <w:t xml:space="preserve"> The Land Acquisition Tribunal, Ludhiana (for short, </w:t>
      </w:r>
      <w:r w:rsidRPr="00846792">
        <w:rPr>
          <w:rFonts w:ascii="Times New Roman" w:hAnsi="Times New Roman" w:cs="Times New Roman"/>
          <w:sz w:val="25"/>
          <w:szCs w:val="25"/>
        </w:rPr>
        <w:t>‘the Tribunal’) to which the Collector made reference under Section 18 of the Land Acquisition Act, 1894 (for short, ‘the Act’) relied upon sale deed dated 24.12.1970 (Exhibit A-12) by which 400 sq. yards land was sold for a sum or Rs.11,600 and award Exhi</w:t>
      </w:r>
      <w:r w:rsidRPr="00846792">
        <w:rPr>
          <w:rFonts w:ascii="Times New Roman" w:hAnsi="Times New Roman" w:cs="Times New Roman"/>
          <w:sz w:val="25"/>
          <w:szCs w:val="25"/>
        </w:rPr>
        <w:t>bit AA-1 passed in the case of N. S. Sodhi v. Land Acquisition Collector and determined the amount of compensation at the rate of Rs.39 per sq. yard for the land falling in 'Block A’ and Rs.31 per sq. yard for the land falling in 'Block B\</w:t>
      </w:r>
    </w:p>
    <w:p w:rsidR="00B10D43" w:rsidRPr="00846792" w:rsidRDefault="00E5051B">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846792">
        <w:rPr>
          <w:rFonts w:ascii="Times New Roman" w:hAnsi="Times New Roman" w:cs="Times New Roman"/>
          <w:sz w:val="25"/>
          <w:szCs w:val="25"/>
        </w:rPr>
        <w:t xml:space="preserve"> The appellants </w:t>
      </w:r>
      <w:r w:rsidRPr="00846792">
        <w:rPr>
          <w:rFonts w:ascii="Times New Roman" w:hAnsi="Times New Roman" w:cs="Times New Roman"/>
          <w:sz w:val="25"/>
          <w:szCs w:val="25"/>
        </w:rPr>
        <w:t xml:space="preserve">challenged the award of the Tribunal in Writ Petition Nos. 1599/1986, </w:t>
      </w:r>
      <w:r w:rsidRPr="00846792">
        <w:rPr>
          <w:rFonts w:ascii="Times New Roman" w:hAnsi="Times New Roman" w:cs="Times New Roman"/>
          <w:sz w:val="25"/>
          <w:szCs w:val="25"/>
        </w:rPr>
        <w:lastRenderedPageBreak/>
        <w:t>14072/1989 and 14075/1989. The Trust also filed writ petitions questioning the award of the Tribunal.</w:t>
      </w:r>
    </w:p>
    <w:p w:rsidR="00B10D43" w:rsidRPr="00846792" w:rsidRDefault="00E5051B">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846792">
        <w:rPr>
          <w:rFonts w:ascii="Times New Roman" w:hAnsi="Times New Roman" w:cs="Times New Roman"/>
          <w:sz w:val="25"/>
          <w:szCs w:val="25"/>
        </w:rPr>
        <w:t xml:space="preserve"> The Division Bench of the High Court dismissed the writ petitions filed by the Trus</w:t>
      </w:r>
      <w:r w:rsidRPr="00846792">
        <w:rPr>
          <w:rFonts w:ascii="Times New Roman" w:hAnsi="Times New Roman" w:cs="Times New Roman"/>
          <w:sz w:val="25"/>
          <w:szCs w:val="25"/>
        </w:rPr>
        <w:t>t and partly allowed those filed by the appellants and other land owners. The Division Bench also relied upon Exhibits A-12 and AA-1 and held that the landowners are entitled to compensation at a flat rate of Rs.39 per sq. yard.</w:t>
      </w:r>
    </w:p>
    <w:p w:rsidR="00B10D43" w:rsidRPr="00846792" w:rsidRDefault="00E5051B">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846792">
        <w:rPr>
          <w:rFonts w:ascii="Times New Roman" w:hAnsi="Times New Roman" w:cs="Times New Roman"/>
          <w:sz w:val="25"/>
          <w:szCs w:val="25"/>
        </w:rPr>
        <w:t xml:space="preserve"> Learned counsel for the ap</w:t>
      </w:r>
      <w:r w:rsidRPr="00846792">
        <w:rPr>
          <w:rFonts w:ascii="Times New Roman" w:hAnsi="Times New Roman" w:cs="Times New Roman"/>
          <w:sz w:val="25"/>
          <w:szCs w:val="25"/>
        </w:rPr>
        <w:t>pellants argued that while fixing market value of the acquired land by relying upon the award passed in the case of N. S. Sodhi, the High Court committed an error by not granting adequate increase in the value of land. He pointed out that the land which wa</w:t>
      </w:r>
      <w:r w:rsidRPr="00846792">
        <w:rPr>
          <w:rFonts w:ascii="Times New Roman" w:hAnsi="Times New Roman" w:cs="Times New Roman"/>
          <w:sz w:val="25"/>
          <w:szCs w:val="25"/>
        </w:rPr>
        <w:t xml:space="preserve">s subject matter of the award passed in the case of N. S. Sodhi was acquired in 1970 whereas the appellants’ land was acquired vide Notification dated 11.8.1972 and argued that market rate of the appellants’ land should have been increased by 12%. Learned </w:t>
      </w:r>
      <w:r w:rsidRPr="00846792">
        <w:rPr>
          <w:rFonts w:ascii="Times New Roman" w:hAnsi="Times New Roman" w:cs="Times New Roman"/>
          <w:sz w:val="25"/>
          <w:szCs w:val="25"/>
        </w:rPr>
        <w:t>counsel for the Trust fairly conceded that the determination made by the High Court has not been challenged by the Trust and that the land, which was subject matter of the award passed in the case of N. S. Sodhi had been acquired in 1970.</w:t>
      </w:r>
    </w:p>
    <w:p w:rsidR="00B10D43" w:rsidRPr="00846792" w:rsidRDefault="00E5051B">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846792">
        <w:rPr>
          <w:rFonts w:ascii="Times New Roman" w:hAnsi="Times New Roman" w:cs="Times New Roman"/>
          <w:sz w:val="25"/>
          <w:szCs w:val="25"/>
        </w:rPr>
        <w:t xml:space="preserve"> We have considered the respective submissions. It is not in dispute that the appellants’ land is similar to that of N.S. Sodhi, who was awarded compensation at the rate of Rs.39/- per sq. yard. It is also not in dispute that N.S. Sodhi’s land was acquired</w:t>
      </w:r>
      <w:r w:rsidRPr="00846792">
        <w:rPr>
          <w:rFonts w:ascii="Times New Roman" w:hAnsi="Times New Roman" w:cs="Times New Roman"/>
          <w:sz w:val="25"/>
          <w:szCs w:val="25"/>
        </w:rPr>
        <w:t xml:space="preserve"> sometime in 1970. Therefore, the High Court should have, keeping in view the law laid down by this Court in Ranjit Singh v. U.T. of Chandigarh (1992) 4 SCC 659, Land Acquisition Officer v. Ramanjulu (2005) 9 SCC 594 and Krishi Utpadan Mandi Samiti v. Bipi</w:t>
      </w:r>
      <w:r w:rsidRPr="00846792">
        <w:rPr>
          <w:rFonts w:ascii="Times New Roman" w:hAnsi="Times New Roman" w:cs="Times New Roman"/>
          <w:sz w:val="25"/>
          <w:szCs w:val="25"/>
        </w:rPr>
        <w:t>n Kumar (2004) 2 SCC 283 granted the benefit of notional increase in market value of the acquired land. Similar view has been expressed in Sardar Jogendra Singh v. State of U.P. (2008) 17 SCC 133, Revenue Divl. Officer-cum-LAO v. Sk. Azam Saheb (2009) 4 SC</w:t>
      </w:r>
      <w:r w:rsidRPr="00846792">
        <w:rPr>
          <w:rFonts w:ascii="Times New Roman" w:hAnsi="Times New Roman" w:cs="Times New Roman"/>
          <w:sz w:val="25"/>
          <w:szCs w:val="25"/>
        </w:rPr>
        <w:t>C 395, ONGC Ltd. v. Rameshbhai Jivanbhai Patel (2008) 14 SCC 745 and Valliyammal v. Special Tahsildar (Land Acquisition) (2011) 8 SCC 91.</w:t>
      </w:r>
    </w:p>
    <w:p w:rsidR="00B10D43" w:rsidRPr="00846792" w:rsidRDefault="00E5051B">
      <w:pPr>
        <w:pStyle w:val="Bodytext0"/>
        <w:numPr>
          <w:ilvl w:val="0"/>
          <w:numId w:val="1"/>
        </w:numPr>
        <w:shd w:val="clear" w:color="auto" w:fill="auto"/>
        <w:spacing w:before="0" w:after="300" w:line="322" w:lineRule="exact"/>
        <w:ind w:left="20" w:right="40"/>
        <w:jc w:val="both"/>
        <w:rPr>
          <w:rFonts w:ascii="Times New Roman" w:hAnsi="Times New Roman" w:cs="Times New Roman"/>
          <w:sz w:val="25"/>
          <w:szCs w:val="25"/>
        </w:rPr>
      </w:pPr>
      <w:r w:rsidRPr="00846792">
        <w:rPr>
          <w:rFonts w:ascii="Times New Roman" w:hAnsi="Times New Roman" w:cs="Times New Roman"/>
          <w:sz w:val="25"/>
          <w:szCs w:val="25"/>
        </w:rPr>
        <w:t xml:space="preserve"> By applying the ratio of the above referred judgments, we hold that the appellants are entitled to the benefit of inc</w:t>
      </w:r>
      <w:r w:rsidRPr="00846792">
        <w:rPr>
          <w:rFonts w:ascii="Times New Roman" w:hAnsi="Times New Roman" w:cs="Times New Roman"/>
          <w:sz w:val="25"/>
          <w:szCs w:val="25"/>
        </w:rPr>
        <w:t>rease at the rate of 12% per annum. In other words, they are entitled to compensation at the rate of Rs.48.36 per sq. yard which deserves to be rounded off to Rs.49.</w:t>
      </w:r>
    </w:p>
    <w:p w:rsidR="00B10D43" w:rsidRPr="00846792" w:rsidRDefault="00E5051B">
      <w:pPr>
        <w:pStyle w:val="Bodytext0"/>
        <w:numPr>
          <w:ilvl w:val="0"/>
          <w:numId w:val="1"/>
        </w:numPr>
        <w:shd w:val="clear" w:color="auto" w:fill="auto"/>
        <w:tabs>
          <w:tab w:val="left" w:pos="322"/>
        </w:tabs>
        <w:spacing w:before="0" w:line="322" w:lineRule="exact"/>
        <w:jc w:val="both"/>
        <w:rPr>
          <w:rFonts w:ascii="Times New Roman" w:hAnsi="Times New Roman" w:cs="Times New Roman"/>
          <w:sz w:val="25"/>
          <w:szCs w:val="25"/>
        </w:rPr>
      </w:pPr>
      <w:r w:rsidRPr="00846792">
        <w:rPr>
          <w:rFonts w:ascii="Times New Roman" w:hAnsi="Times New Roman" w:cs="Times New Roman"/>
          <w:sz w:val="25"/>
          <w:szCs w:val="25"/>
        </w:rPr>
        <w:t>In the result, the appeals are allowed and it is declared that the appellants are entitled</w:t>
      </w:r>
      <w:r w:rsidRPr="00846792">
        <w:rPr>
          <w:rFonts w:ascii="Times New Roman" w:hAnsi="Times New Roman" w:cs="Times New Roman"/>
          <w:sz w:val="25"/>
          <w:szCs w:val="25"/>
        </w:rPr>
        <w:t xml:space="preserve"> to compensation at the rate of Rs.49 per sq. yard. The Trust is directed to pay the enhanced amount of compensation with other statutory benefits including solatium and interest to the </w:t>
      </w:r>
      <w:r w:rsidRPr="00846792">
        <w:rPr>
          <w:rFonts w:ascii="Times New Roman" w:hAnsi="Times New Roman" w:cs="Times New Roman"/>
          <w:sz w:val="25"/>
          <w:szCs w:val="25"/>
        </w:rPr>
        <w:lastRenderedPageBreak/>
        <w:t>appellants and/or their representatives within a period of four months</w:t>
      </w:r>
      <w:r w:rsidRPr="00846792">
        <w:rPr>
          <w:rFonts w:ascii="Times New Roman" w:hAnsi="Times New Roman" w:cs="Times New Roman"/>
          <w:sz w:val="25"/>
          <w:szCs w:val="25"/>
        </w:rPr>
        <w:t xml:space="preserve"> by getting demand drafts prepared in their names.</w:t>
      </w:r>
    </w:p>
    <w:sectPr w:rsidR="00B10D43" w:rsidRPr="00846792" w:rsidSect="00B10D43">
      <w:footerReference w:type="default" r:id="rId7"/>
      <w:type w:val="continuous"/>
      <w:pgSz w:w="12240" w:h="15840"/>
      <w:pgMar w:top="1478" w:right="1409" w:bottom="2169"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51B" w:rsidRDefault="00E5051B" w:rsidP="00B10D43">
      <w:r>
        <w:separator/>
      </w:r>
    </w:p>
  </w:endnote>
  <w:endnote w:type="continuationSeparator" w:id="1">
    <w:p w:rsidR="00E5051B" w:rsidRDefault="00E5051B" w:rsidP="00B10D43">
      <w:r>
        <w:continuationSeparator/>
      </w:r>
    </w:p>
  </w:endnote>
</w:endnotes>
</file>

<file path=word/fontTable.xml><?xml version="1.0" encoding="utf-8"?>
<w:fonts xmlns:r="http://schemas.openxmlformats.org/officeDocument/2006/relationships" xmlns:w="http://schemas.openxmlformats.org/wordprocessingml/2006/main">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0D43" w:rsidRDefault="00B10D43">
    <w:pPr>
      <w:rPr>
        <w:sz w:val="2"/>
        <w:szCs w:val="2"/>
      </w:rPr>
    </w:pPr>
    <w:r w:rsidRPr="00B10D43">
      <w:pict>
        <v:shapetype id="_x0000_t202" coordsize="21600,21600" o:spt="202" path="m,l,21600r21600,l21600,xe">
          <v:stroke joinstyle="miter"/>
          <v:path gradientshapeok="t" o:connecttype="rect"/>
        </v:shapetype>
        <v:shape id="_x0000_s1025" type="#_x0000_t202" style="position:absolute;margin-left:1in;margin-top:708pt;width:467.3pt;height:11.05pt;z-index:-251658752;mso-wrap-distance-left:5pt;mso-wrap-distance-right:5pt;mso-position-horizontal-relative:page;mso-position-vertical-relative:page" wrapcoords="0 0" filled="f" stroked="f">
          <v:textbox style="mso-fit-shape-to-text:t" inset="0,0,0,0">
            <w:txbxContent>
              <w:p w:rsidR="00B10D43" w:rsidRDefault="00E5051B">
                <w:pPr>
                  <w:pStyle w:val="Headerorfooter0"/>
                  <w:shd w:val="clear" w:color="auto" w:fill="auto"/>
                  <w:tabs>
                    <w:tab w:val="right" w:pos="5434"/>
                    <w:tab w:val="right" w:pos="9346"/>
                  </w:tabs>
                  <w:spacing w:line="240" w:lineRule="auto"/>
                </w:pPr>
                <w:r>
                  <w:rPr>
                    <w:rStyle w:val="Headerorfooter1"/>
                  </w:rPr>
                  <w:t>Law Information Center</w:t>
                </w:r>
                <w:r>
                  <w:rPr>
                    <w:rStyle w:val="Headerorfooter1"/>
                  </w:rPr>
                  <w:tab/>
                </w:r>
                <w:fldSimple w:instr=" PAGE \* MERGEFORMAT ">
                  <w:r w:rsidR="00846792" w:rsidRPr="00846792">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51B" w:rsidRDefault="00E5051B"/>
  </w:footnote>
  <w:footnote w:type="continuationSeparator" w:id="1">
    <w:p w:rsidR="00E5051B" w:rsidRDefault="00E5051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62A32"/>
    <w:multiLevelType w:val="multilevel"/>
    <w:tmpl w:val="19CE4322"/>
    <w:lvl w:ilvl="0">
      <w:start w:val="1"/>
      <w:numFmt w:val="decimal"/>
      <w:lvlText w:val="%1."/>
      <w:lvlJc w:val="left"/>
      <w:rPr>
        <w:rFonts w:ascii="David" w:eastAsia="David" w:hAnsi="David" w:cs="David"/>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10D43"/>
    <w:rsid w:val="00846792"/>
    <w:rsid w:val="00B10D43"/>
    <w:rsid w:val="00E50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10D4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10D43"/>
    <w:rPr>
      <w:color w:val="0066CC"/>
      <w:u w:val="single"/>
    </w:rPr>
  </w:style>
  <w:style w:type="character" w:customStyle="1" w:styleId="Bodytext2">
    <w:name w:val="Body text (2)_"/>
    <w:basedOn w:val="DefaultParagraphFont"/>
    <w:link w:val="Bodytext20"/>
    <w:rsid w:val="00B10D43"/>
    <w:rPr>
      <w:rFonts w:ascii="David" w:eastAsia="David" w:hAnsi="David" w:cs="David"/>
      <w:b/>
      <w:bCs/>
      <w:i w:val="0"/>
      <w:iCs w:val="0"/>
      <w:smallCaps w:val="0"/>
      <w:strike w:val="0"/>
      <w:sz w:val="28"/>
      <w:szCs w:val="28"/>
      <w:u w:val="none"/>
    </w:rPr>
  </w:style>
  <w:style w:type="character" w:customStyle="1" w:styleId="Headerorfooter">
    <w:name w:val="Header or footer_"/>
    <w:basedOn w:val="DefaultParagraphFont"/>
    <w:link w:val="Headerorfooter0"/>
    <w:rsid w:val="00B10D43"/>
    <w:rPr>
      <w:rFonts w:ascii="David" w:eastAsia="David" w:hAnsi="David" w:cs="David"/>
      <w:b w:val="0"/>
      <w:bCs w:val="0"/>
      <w:i w:val="0"/>
      <w:iCs w:val="0"/>
      <w:smallCaps w:val="0"/>
      <w:strike w:val="0"/>
      <w:sz w:val="23"/>
      <w:szCs w:val="23"/>
      <w:u w:val="none"/>
    </w:rPr>
  </w:style>
  <w:style w:type="character" w:customStyle="1" w:styleId="Headerorfooter1">
    <w:name w:val="Header or footer"/>
    <w:basedOn w:val="Headerorfooter"/>
    <w:rsid w:val="00B10D43"/>
    <w:rPr>
      <w:color w:val="000000"/>
      <w:spacing w:val="0"/>
      <w:w w:val="100"/>
      <w:position w:val="0"/>
      <w:lang w:val="en-US" w:eastAsia="en-US" w:bidi="en-US"/>
    </w:rPr>
  </w:style>
  <w:style w:type="character" w:customStyle="1" w:styleId="Bodytext">
    <w:name w:val="Body text_"/>
    <w:basedOn w:val="DefaultParagraphFont"/>
    <w:link w:val="Bodytext0"/>
    <w:rsid w:val="00B10D43"/>
    <w:rPr>
      <w:rFonts w:ascii="David" w:eastAsia="David" w:hAnsi="David" w:cs="David"/>
      <w:b w:val="0"/>
      <w:bCs w:val="0"/>
      <w:i w:val="0"/>
      <w:iCs w:val="0"/>
      <w:smallCaps w:val="0"/>
      <w:strike w:val="0"/>
      <w:sz w:val="26"/>
      <w:szCs w:val="26"/>
      <w:u w:val="none"/>
    </w:rPr>
  </w:style>
  <w:style w:type="paragraph" w:customStyle="1" w:styleId="Bodytext20">
    <w:name w:val="Body text (2)"/>
    <w:basedOn w:val="Normal"/>
    <w:link w:val="Bodytext2"/>
    <w:rsid w:val="00B10D43"/>
    <w:pPr>
      <w:shd w:val="clear" w:color="auto" w:fill="FFFFFF"/>
      <w:spacing w:after="420" w:line="0" w:lineRule="atLeast"/>
      <w:jc w:val="center"/>
    </w:pPr>
    <w:rPr>
      <w:rFonts w:ascii="David" w:eastAsia="David" w:hAnsi="David" w:cs="David"/>
      <w:b/>
      <w:bCs/>
      <w:sz w:val="28"/>
      <w:szCs w:val="28"/>
    </w:rPr>
  </w:style>
  <w:style w:type="paragraph" w:customStyle="1" w:styleId="Headerorfooter0">
    <w:name w:val="Header or footer"/>
    <w:basedOn w:val="Normal"/>
    <w:link w:val="Headerorfooter"/>
    <w:rsid w:val="00B10D43"/>
    <w:pPr>
      <w:shd w:val="clear" w:color="auto" w:fill="FFFFFF"/>
      <w:spacing w:line="0" w:lineRule="atLeast"/>
    </w:pPr>
    <w:rPr>
      <w:rFonts w:ascii="David" w:eastAsia="David" w:hAnsi="David" w:cs="David"/>
      <w:sz w:val="23"/>
      <w:szCs w:val="23"/>
    </w:rPr>
  </w:style>
  <w:style w:type="paragraph" w:customStyle="1" w:styleId="Bodytext0">
    <w:name w:val="Body text"/>
    <w:basedOn w:val="Normal"/>
    <w:link w:val="Bodytext"/>
    <w:rsid w:val="00B10D43"/>
    <w:pPr>
      <w:shd w:val="clear" w:color="auto" w:fill="FFFFFF"/>
      <w:spacing w:before="420" w:line="643" w:lineRule="exact"/>
      <w:jc w:val="center"/>
    </w:pPr>
    <w:rPr>
      <w:rFonts w:ascii="David" w:eastAsia="David" w:hAnsi="David" w:cs="David"/>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685</Words>
  <Characters>3909</Characters>
  <Application>Microsoft Office Word</Application>
  <DocSecurity>0</DocSecurity>
  <Lines>32</Lines>
  <Paragraphs>9</Paragraphs>
  <ScaleCrop>false</ScaleCrop>
  <Company/>
  <LinksUpToDate>false</LinksUpToDate>
  <CharactersWithSpaces>4585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2017-06-30T07:34:00Z</dcterms:created>
  <dcterms:modified xsi:type="dcterms:W3CDTF">2017-06-30T07:34:00Z</dcterms:modified>
</cp:coreProperties>
</file>