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739" w:rsidRPr="001D5D93" w:rsidRDefault="008738AE">
      <w:pPr>
        <w:pStyle w:val="Bodytext20"/>
        <w:shd w:val="clear" w:color="auto" w:fill="auto"/>
        <w:spacing w:after="52" w:line="280" w:lineRule="exact"/>
        <w:ind w:left="300"/>
        <w:rPr>
          <w:rFonts w:ascii="Times New Roman" w:hAnsi="Times New Roman" w:cs="Times New Roman"/>
          <w:sz w:val="25"/>
          <w:szCs w:val="25"/>
        </w:rPr>
      </w:pPr>
      <w:r w:rsidRPr="001D5D93">
        <w:rPr>
          <w:rFonts w:ascii="Times New Roman" w:hAnsi="Times New Roman" w:cs="Times New Roman"/>
          <w:sz w:val="25"/>
          <w:szCs w:val="25"/>
        </w:rPr>
        <w:t>SUPREME COURT OF INDIA</w:t>
      </w:r>
    </w:p>
    <w:p w:rsidR="00AA1739" w:rsidRPr="001D5D93" w:rsidRDefault="008738AE">
      <w:pPr>
        <w:pStyle w:val="Bodytext0"/>
        <w:shd w:val="clear" w:color="auto" w:fill="auto"/>
        <w:spacing w:before="0"/>
        <w:ind w:left="300"/>
        <w:rPr>
          <w:rFonts w:ascii="Times New Roman" w:hAnsi="Times New Roman" w:cs="Times New Roman"/>
          <w:sz w:val="25"/>
          <w:szCs w:val="25"/>
        </w:rPr>
      </w:pPr>
      <w:r w:rsidRPr="001D5D93">
        <w:rPr>
          <w:rFonts w:ascii="Times New Roman" w:hAnsi="Times New Roman" w:cs="Times New Roman"/>
          <w:sz w:val="25"/>
          <w:szCs w:val="25"/>
        </w:rPr>
        <w:t>R.K.Anand</w:t>
      </w:r>
    </w:p>
    <w:p w:rsidR="00AA1739" w:rsidRPr="001D5D93" w:rsidRDefault="008738AE">
      <w:pPr>
        <w:pStyle w:val="Bodytext0"/>
        <w:shd w:val="clear" w:color="auto" w:fill="auto"/>
        <w:spacing w:before="0"/>
        <w:ind w:left="300"/>
        <w:rPr>
          <w:rFonts w:ascii="Times New Roman" w:hAnsi="Times New Roman" w:cs="Times New Roman"/>
          <w:sz w:val="25"/>
          <w:szCs w:val="25"/>
        </w:rPr>
      </w:pPr>
      <w:r w:rsidRPr="001D5D93">
        <w:rPr>
          <w:rFonts w:ascii="Times New Roman" w:hAnsi="Times New Roman" w:cs="Times New Roman"/>
          <w:sz w:val="25"/>
          <w:szCs w:val="25"/>
        </w:rPr>
        <w:t>Vs.</w:t>
      </w:r>
    </w:p>
    <w:p w:rsidR="001D5D93" w:rsidRPr="001D5D93" w:rsidRDefault="008738AE">
      <w:pPr>
        <w:pStyle w:val="Bodytext0"/>
        <w:shd w:val="clear" w:color="auto" w:fill="auto"/>
        <w:spacing w:before="0"/>
        <w:ind w:left="300"/>
        <w:rPr>
          <w:rFonts w:ascii="Times New Roman" w:hAnsi="Times New Roman" w:cs="Times New Roman"/>
          <w:sz w:val="25"/>
          <w:szCs w:val="25"/>
        </w:rPr>
      </w:pPr>
      <w:r w:rsidRPr="001D5D93">
        <w:rPr>
          <w:rFonts w:ascii="Times New Roman" w:hAnsi="Times New Roman" w:cs="Times New Roman"/>
          <w:sz w:val="25"/>
          <w:szCs w:val="25"/>
        </w:rPr>
        <w:t xml:space="preserve">Registrar, Delhi High Court </w:t>
      </w:r>
    </w:p>
    <w:p w:rsidR="001D5D93" w:rsidRPr="001D5D93" w:rsidRDefault="008738AE">
      <w:pPr>
        <w:pStyle w:val="Bodytext0"/>
        <w:shd w:val="clear" w:color="auto" w:fill="auto"/>
        <w:spacing w:before="0"/>
        <w:ind w:left="300"/>
        <w:rPr>
          <w:rFonts w:ascii="Times New Roman" w:hAnsi="Times New Roman" w:cs="Times New Roman"/>
          <w:sz w:val="25"/>
          <w:szCs w:val="25"/>
        </w:rPr>
      </w:pPr>
      <w:r w:rsidRPr="001D5D93">
        <w:rPr>
          <w:rFonts w:ascii="Times New Roman" w:hAnsi="Times New Roman" w:cs="Times New Roman"/>
          <w:sz w:val="25"/>
          <w:szCs w:val="25"/>
        </w:rPr>
        <w:t xml:space="preserve">Crl.A.No.1393 of 2008 </w:t>
      </w:r>
    </w:p>
    <w:p w:rsidR="00AA1739" w:rsidRPr="001D5D93" w:rsidRDefault="008738AE">
      <w:pPr>
        <w:pStyle w:val="Bodytext0"/>
        <w:shd w:val="clear" w:color="auto" w:fill="auto"/>
        <w:spacing w:before="0"/>
        <w:ind w:left="300"/>
        <w:rPr>
          <w:rFonts w:ascii="Times New Roman" w:hAnsi="Times New Roman" w:cs="Times New Roman"/>
          <w:sz w:val="25"/>
          <w:szCs w:val="25"/>
        </w:rPr>
      </w:pPr>
      <w:r w:rsidRPr="001D5D93">
        <w:rPr>
          <w:rFonts w:ascii="Times New Roman" w:hAnsi="Times New Roman" w:cs="Times New Roman"/>
          <w:sz w:val="25"/>
          <w:szCs w:val="25"/>
        </w:rPr>
        <w:t>(G.S.Singhvi, Aftab Alam and Chandramauli Kr.Prasad JJ.)</w:t>
      </w:r>
    </w:p>
    <w:p w:rsidR="00AA1739" w:rsidRPr="001D5D93" w:rsidRDefault="008738AE">
      <w:pPr>
        <w:pStyle w:val="Bodytext0"/>
        <w:shd w:val="clear" w:color="auto" w:fill="auto"/>
        <w:spacing w:before="0"/>
        <w:ind w:left="300"/>
        <w:rPr>
          <w:rFonts w:ascii="Times New Roman" w:hAnsi="Times New Roman" w:cs="Times New Roman"/>
          <w:sz w:val="25"/>
          <w:szCs w:val="25"/>
        </w:rPr>
      </w:pPr>
      <w:r w:rsidRPr="001D5D93">
        <w:rPr>
          <w:rFonts w:ascii="Times New Roman" w:hAnsi="Times New Roman" w:cs="Times New Roman"/>
          <w:sz w:val="25"/>
          <w:szCs w:val="25"/>
        </w:rPr>
        <w:t>21.11.2012</w:t>
      </w:r>
    </w:p>
    <w:p w:rsidR="00AA1739" w:rsidRPr="001D5D93" w:rsidRDefault="008738AE">
      <w:pPr>
        <w:pStyle w:val="Bodytext20"/>
        <w:shd w:val="clear" w:color="auto" w:fill="auto"/>
        <w:spacing w:after="0" w:line="643" w:lineRule="exact"/>
        <w:ind w:left="300"/>
        <w:rPr>
          <w:rFonts w:ascii="Times New Roman" w:hAnsi="Times New Roman" w:cs="Times New Roman"/>
          <w:sz w:val="25"/>
          <w:szCs w:val="25"/>
        </w:rPr>
      </w:pPr>
      <w:r w:rsidRPr="001D5D93">
        <w:rPr>
          <w:rFonts w:ascii="Times New Roman" w:hAnsi="Times New Roman" w:cs="Times New Roman"/>
          <w:sz w:val="25"/>
          <w:szCs w:val="25"/>
        </w:rPr>
        <w:t>ORDER</w:t>
      </w:r>
    </w:p>
    <w:p w:rsidR="00AA1739" w:rsidRPr="001D5D93" w:rsidRDefault="008738AE">
      <w:pPr>
        <w:pStyle w:val="Bodytext20"/>
        <w:shd w:val="clear" w:color="auto" w:fill="auto"/>
        <w:spacing w:after="0" w:line="643" w:lineRule="exact"/>
        <w:ind w:left="20"/>
        <w:jc w:val="both"/>
        <w:rPr>
          <w:rFonts w:ascii="Times New Roman" w:hAnsi="Times New Roman" w:cs="Times New Roman"/>
          <w:sz w:val="25"/>
          <w:szCs w:val="25"/>
        </w:rPr>
      </w:pPr>
      <w:r w:rsidRPr="001D5D93">
        <w:rPr>
          <w:rFonts w:ascii="Times New Roman" w:hAnsi="Times New Roman" w:cs="Times New Roman"/>
          <w:sz w:val="25"/>
          <w:szCs w:val="25"/>
        </w:rPr>
        <w:t>AFTAB ALAM, J.</w:t>
      </w:r>
    </w:p>
    <w:p w:rsidR="00AA1739" w:rsidRPr="001D5D93" w:rsidRDefault="008738AE">
      <w:pPr>
        <w:pStyle w:val="Bodytext0"/>
        <w:numPr>
          <w:ilvl w:val="0"/>
          <w:numId w:val="1"/>
        </w:numPr>
        <w:shd w:val="clear" w:color="auto" w:fill="auto"/>
        <w:spacing w:before="0" w:after="240" w:line="322" w:lineRule="exact"/>
        <w:ind w:left="20" w:right="300"/>
        <w:jc w:val="both"/>
        <w:rPr>
          <w:rFonts w:ascii="Times New Roman" w:hAnsi="Times New Roman" w:cs="Times New Roman"/>
          <w:sz w:val="25"/>
          <w:szCs w:val="25"/>
        </w:rPr>
      </w:pPr>
      <w:r w:rsidRPr="001D5D93">
        <w:rPr>
          <w:rFonts w:ascii="Times New Roman" w:hAnsi="Times New Roman" w:cs="Times New Roman"/>
          <w:sz w:val="25"/>
          <w:szCs w:val="25"/>
        </w:rPr>
        <w:t xml:space="preserve"> In a proceeding initiated suo motu [registered as Writ Petition (Criminal) No.796 of 2007], the Delhi High Court found the contemnor guilty of suborning the court witness in a criminal trial in which he represented the accused as the senior advocate. The </w:t>
      </w:r>
      <w:r w:rsidRPr="001D5D93">
        <w:rPr>
          <w:rFonts w:ascii="Times New Roman" w:hAnsi="Times New Roman" w:cs="Times New Roman"/>
          <w:sz w:val="25"/>
          <w:szCs w:val="25"/>
        </w:rPr>
        <w:t>High Court, thus, held him guilty under clauses (ii) and (iii) of Section 2(c) of the Contempt of Courts Act, 1971 and in exercise of the power under Article 215 of the Constitution of India the High Court prohibited him, by way of punishment, from appeari</w:t>
      </w:r>
      <w:r w:rsidRPr="001D5D93">
        <w:rPr>
          <w:rFonts w:ascii="Times New Roman" w:hAnsi="Times New Roman" w:cs="Times New Roman"/>
          <w:sz w:val="25"/>
          <w:szCs w:val="25"/>
        </w:rPr>
        <w:t>ng in the Delhi High Court and the courts subordinate to it for a period of four months from the date of the judgment dated August 21, 2008 leaving him, however, free to carry on his other professional work e.g. consultations, advices, conferences, opinion</w:t>
      </w:r>
      <w:r w:rsidRPr="001D5D93">
        <w:rPr>
          <w:rFonts w:ascii="Times New Roman" w:hAnsi="Times New Roman" w:cs="Times New Roman"/>
          <w:sz w:val="25"/>
          <w:szCs w:val="25"/>
        </w:rPr>
        <w:t>s etc. The High Court further held that the contemnor had forfeited his right to be designated as a senior advocate and recommended to the full court to divest him of the honour. In addition, the High Court also imposed on him a fine of Rs.2,000/-.</w:t>
      </w:r>
    </w:p>
    <w:p w:rsidR="00AA1739" w:rsidRPr="001D5D93" w:rsidRDefault="008738AE">
      <w:pPr>
        <w:pStyle w:val="Bodytext0"/>
        <w:numPr>
          <w:ilvl w:val="0"/>
          <w:numId w:val="1"/>
        </w:numPr>
        <w:shd w:val="clear" w:color="auto" w:fill="auto"/>
        <w:spacing w:before="0" w:line="322" w:lineRule="exact"/>
        <w:ind w:left="20" w:right="300"/>
        <w:jc w:val="both"/>
        <w:rPr>
          <w:rFonts w:ascii="Times New Roman" w:hAnsi="Times New Roman" w:cs="Times New Roman"/>
          <w:sz w:val="25"/>
          <w:szCs w:val="25"/>
        </w:rPr>
      </w:pPr>
      <w:r w:rsidRPr="001D5D93">
        <w:rPr>
          <w:rFonts w:ascii="Times New Roman" w:hAnsi="Times New Roman" w:cs="Times New Roman"/>
          <w:sz w:val="25"/>
          <w:szCs w:val="25"/>
        </w:rPr>
        <w:t xml:space="preserve"> The co</w:t>
      </w:r>
      <w:r w:rsidRPr="001D5D93">
        <w:rPr>
          <w:rFonts w:ascii="Times New Roman" w:hAnsi="Times New Roman" w:cs="Times New Roman"/>
          <w:sz w:val="25"/>
          <w:szCs w:val="25"/>
        </w:rPr>
        <w:t>ntemnor brought the matter to this Court in appeal under Section 19(1) of the Contempt of Courts Act. This Court by judgment and order dated July 29, 2009 (R.K. Anand v. Registrar, Delhi High)[1] affirmed the finding of the High Court as to the guilt of th</w:t>
      </w:r>
      <w:r w:rsidRPr="001D5D93">
        <w:rPr>
          <w:rFonts w:ascii="Times New Roman" w:hAnsi="Times New Roman" w:cs="Times New Roman"/>
          <w:sz w:val="25"/>
          <w:szCs w:val="25"/>
        </w:rPr>
        <w:t>e contemnor. But so far as the punishment is concerned, this Court took the view that in the facts and circumstances of the case, the punishment given to the contemnor was wholly inadequate. In paragraphs 272 and 273 of the judgment, this Court held and ob</w:t>
      </w:r>
      <w:r w:rsidRPr="001D5D93">
        <w:rPr>
          <w:rFonts w:ascii="Times New Roman" w:hAnsi="Times New Roman" w:cs="Times New Roman"/>
          <w:sz w:val="25"/>
          <w:szCs w:val="25"/>
        </w:rPr>
        <w:t>served as follows:-</w:t>
      </w:r>
    </w:p>
    <w:p w:rsidR="00AA1739" w:rsidRPr="001D5D93" w:rsidRDefault="008738AE">
      <w:pPr>
        <w:pStyle w:val="Bodytext30"/>
        <w:shd w:val="clear" w:color="auto" w:fill="auto"/>
        <w:tabs>
          <w:tab w:val="center" w:pos="5233"/>
          <w:tab w:val="right" w:pos="9332"/>
        </w:tabs>
        <w:spacing w:line="220" w:lineRule="exact"/>
        <w:ind w:left="20"/>
        <w:rPr>
          <w:rFonts w:ascii="Times New Roman" w:hAnsi="Times New Roman" w:cs="Times New Roman"/>
          <w:sz w:val="25"/>
          <w:szCs w:val="25"/>
        </w:rPr>
      </w:pPr>
      <w:r w:rsidRPr="001D5D93">
        <w:rPr>
          <w:rFonts w:ascii="Times New Roman" w:hAnsi="Times New Roman" w:cs="Times New Roman"/>
          <w:sz w:val="25"/>
          <w:szCs w:val="25"/>
        </w:rPr>
        <w:t>Law Information Center</w:t>
      </w:r>
      <w:r w:rsidRPr="001D5D93">
        <w:rPr>
          <w:rFonts w:ascii="Times New Roman" w:hAnsi="Times New Roman" w:cs="Times New Roman"/>
          <w:sz w:val="25"/>
          <w:szCs w:val="25"/>
        </w:rPr>
        <w:tab/>
        <w:t>1</w:t>
      </w:r>
      <w:r w:rsidRPr="001D5D93">
        <w:rPr>
          <w:rFonts w:ascii="Times New Roman" w:hAnsi="Times New Roman" w:cs="Times New Roman"/>
          <w:sz w:val="25"/>
          <w:szCs w:val="25"/>
        </w:rPr>
        <w:tab/>
        <w:t>SpotLaw</w:t>
      </w:r>
    </w:p>
    <w:p w:rsidR="00AA1739" w:rsidRPr="001D5D93" w:rsidRDefault="008738AE">
      <w:pPr>
        <w:pStyle w:val="Bodytext0"/>
        <w:shd w:val="clear" w:color="auto" w:fill="auto"/>
        <w:spacing w:before="0" w:after="300" w:line="322" w:lineRule="exact"/>
        <w:ind w:left="740" w:right="40"/>
        <w:jc w:val="both"/>
        <w:rPr>
          <w:rFonts w:ascii="Times New Roman" w:hAnsi="Times New Roman" w:cs="Times New Roman"/>
          <w:sz w:val="25"/>
          <w:szCs w:val="25"/>
        </w:rPr>
      </w:pPr>
      <w:r w:rsidRPr="001D5D93">
        <w:rPr>
          <w:rFonts w:ascii="Times New Roman" w:hAnsi="Times New Roman" w:cs="Times New Roman"/>
          <w:sz w:val="25"/>
          <w:szCs w:val="25"/>
        </w:rPr>
        <w:t xml:space="preserve">“272. The action of the appellant in trying to suborn the court witness in a criminal trial was reprehensible enough but his conduct before the High Court aggravates the matter </w:t>
      </w:r>
      <w:r w:rsidRPr="001D5D93">
        <w:rPr>
          <w:rFonts w:ascii="Times New Roman" w:hAnsi="Times New Roman" w:cs="Times New Roman"/>
          <w:sz w:val="25"/>
          <w:szCs w:val="25"/>
        </w:rPr>
        <w:lastRenderedPageBreak/>
        <w:t>manifold. He does not show</w:t>
      </w:r>
      <w:r w:rsidRPr="001D5D93">
        <w:rPr>
          <w:rFonts w:ascii="Times New Roman" w:hAnsi="Times New Roman" w:cs="Times New Roman"/>
          <w:sz w:val="25"/>
          <w:szCs w:val="25"/>
        </w:rPr>
        <w:t xml:space="preserve"> any remorse for his gross misdemeanour and instead tries to take on the High Court by defying its authority. We are in agreement with Mr. Salve and Mr. Subramanium that punishment given to him by the High Court was wholly inadequate and incommensurate to </w:t>
      </w:r>
      <w:r w:rsidRPr="001D5D93">
        <w:rPr>
          <w:rFonts w:ascii="Times New Roman" w:hAnsi="Times New Roman" w:cs="Times New Roman"/>
          <w:sz w:val="25"/>
          <w:szCs w:val="25"/>
        </w:rPr>
        <w:t>the seriousness of his actions and conduct. We, accordingly, propose to issue a notice to him for enhancement of punishment.</w:t>
      </w:r>
    </w:p>
    <w:p w:rsidR="00AA1739" w:rsidRPr="001D5D93" w:rsidRDefault="008738AE">
      <w:pPr>
        <w:pStyle w:val="Bodytext0"/>
        <w:shd w:val="clear" w:color="auto" w:fill="auto"/>
        <w:spacing w:before="0" w:after="300" w:line="322" w:lineRule="exact"/>
        <w:ind w:left="740" w:right="40"/>
        <w:jc w:val="both"/>
        <w:rPr>
          <w:rFonts w:ascii="Times New Roman" w:hAnsi="Times New Roman" w:cs="Times New Roman"/>
          <w:sz w:val="25"/>
          <w:szCs w:val="25"/>
        </w:rPr>
      </w:pPr>
      <w:r w:rsidRPr="001D5D93">
        <w:rPr>
          <w:rFonts w:ascii="Times New Roman" w:hAnsi="Times New Roman" w:cs="Times New Roman"/>
          <w:sz w:val="25"/>
          <w:szCs w:val="25"/>
        </w:rPr>
        <w:t xml:space="preserve">273. We also hold that by his actions and conduct the appellant has established himself as a person who needs to be kept away from </w:t>
      </w:r>
      <w:r w:rsidRPr="001D5D93">
        <w:rPr>
          <w:rFonts w:ascii="Times New Roman" w:hAnsi="Times New Roman" w:cs="Times New Roman"/>
          <w:sz w:val="25"/>
          <w:szCs w:val="25"/>
        </w:rPr>
        <w:t>the portals of the court for a longer time. The notice would therefore require him to show cause why the punishment awarded to him should not be enhanced as provided under Section 12 of the Contempt of Courts Act. He would additionally show cause why he sh</w:t>
      </w:r>
      <w:r w:rsidRPr="001D5D93">
        <w:rPr>
          <w:rFonts w:ascii="Times New Roman" w:hAnsi="Times New Roman" w:cs="Times New Roman"/>
          <w:sz w:val="25"/>
          <w:szCs w:val="25"/>
        </w:rPr>
        <w:t>ould not be debarred from appearing in courts for a longer period. The second part of the notice would also cure the defect in the High Court order in debarring the appellant from appearing in courts without giving any specific notice in that regard as hel</w:t>
      </w:r>
      <w:r w:rsidRPr="001D5D93">
        <w:rPr>
          <w:rFonts w:ascii="Times New Roman" w:hAnsi="Times New Roman" w:cs="Times New Roman"/>
          <w:sz w:val="25"/>
          <w:szCs w:val="25"/>
        </w:rPr>
        <w:t>d in the earlier part of the judgment.”</w:t>
      </w:r>
    </w:p>
    <w:p w:rsidR="00AA1739" w:rsidRPr="001D5D93" w:rsidRDefault="008738AE">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1D5D93">
        <w:rPr>
          <w:rFonts w:ascii="Times New Roman" w:hAnsi="Times New Roman" w:cs="Times New Roman"/>
          <w:sz w:val="25"/>
          <w:szCs w:val="25"/>
        </w:rPr>
        <w:t xml:space="preserve"> Accordingly, this Court directed for issuing a notice of enhancement of punishment to him and directing him to file a show cause within eight weeks from the date of service of the notice.</w:t>
      </w:r>
    </w:p>
    <w:p w:rsidR="00AA1739" w:rsidRPr="001D5D93" w:rsidRDefault="008738AE">
      <w:pPr>
        <w:pStyle w:val="Bodytext0"/>
        <w:numPr>
          <w:ilvl w:val="0"/>
          <w:numId w:val="1"/>
        </w:numPr>
        <w:shd w:val="clear" w:color="auto" w:fill="auto"/>
        <w:spacing w:before="0" w:after="289" w:line="322" w:lineRule="exact"/>
        <w:ind w:left="20" w:right="40"/>
        <w:jc w:val="both"/>
        <w:rPr>
          <w:rFonts w:ascii="Times New Roman" w:hAnsi="Times New Roman" w:cs="Times New Roman"/>
          <w:sz w:val="25"/>
          <w:szCs w:val="25"/>
        </w:rPr>
      </w:pPr>
      <w:r w:rsidRPr="001D5D93">
        <w:rPr>
          <w:rFonts w:ascii="Times New Roman" w:hAnsi="Times New Roman" w:cs="Times New Roman"/>
          <w:sz w:val="25"/>
          <w:szCs w:val="25"/>
        </w:rPr>
        <w:t xml:space="preserve"> In response to the notice </w:t>
      </w:r>
      <w:r w:rsidRPr="001D5D93">
        <w:rPr>
          <w:rFonts w:ascii="Times New Roman" w:hAnsi="Times New Roman" w:cs="Times New Roman"/>
          <w:sz w:val="25"/>
          <w:szCs w:val="25"/>
        </w:rPr>
        <w:t>issued by the Court, the contemnor filed his show cause on January 13, 2010. In the show cause he tendered apology to the Court and made the prayer to drop the proceedings. There were, however, certain statements made in the show cause that showed a lack o</w:t>
      </w:r>
      <w:r w:rsidRPr="001D5D93">
        <w:rPr>
          <w:rFonts w:ascii="Times New Roman" w:hAnsi="Times New Roman" w:cs="Times New Roman"/>
          <w:sz w:val="25"/>
          <w:szCs w:val="25"/>
        </w:rPr>
        <w:t>f remorse for the wrong done by him. When it was pointed out to the learned counsel representing the contemnor, he filed an additional affidavit on May 4, 2011 accepting all the observations and findings recorded in the judgment of this Court and seeking t</w:t>
      </w:r>
      <w:r w:rsidRPr="001D5D93">
        <w:rPr>
          <w:rFonts w:ascii="Times New Roman" w:hAnsi="Times New Roman" w:cs="Times New Roman"/>
          <w:sz w:val="25"/>
          <w:szCs w:val="25"/>
        </w:rPr>
        <w:t>o withdraw all statements made in the Court that suggested any lack of contrition on his part.</w:t>
      </w:r>
    </w:p>
    <w:p w:rsidR="00AA1739" w:rsidRPr="001D5D93" w:rsidRDefault="008738AE">
      <w:pPr>
        <w:pStyle w:val="Bodytext0"/>
        <w:numPr>
          <w:ilvl w:val="0"/>
          <w:numId w:val="1"/>
        </w:numPr>
        <w:shd w:val="clear" w:color="auto" w:fill="auto"/>
        <w:tabs>
          <w:tab w:val="right" w:pos="5276"/>
          <w:tab w:val="right" w:pos="9332"/>
        </w:tabs>
        <w:spacing w:before="0" w:after="312" w:line="336" w:lineRule="exact"/>
        <w:ind w:left="20" w:right="40"/>
        <w:jc w:val="both"/>
        <w:rPr>
          <w:rFonts w:ascii="Times New Roman" w:hAnsi="Times New Roman" w:cs="Times New Roman"/>
          <w:sz w:val="25"/>
          <w:szCs w:val="25"/>
        </w:rPr>
      </w:pPr>
      <w:r w:rsidRPr="001D5D93">
        <w:rPr>
          <w:rFonts w:ascii="Times New Roman" w:hAnsi="Times New Roman" w:cs="Times New Roman"/>
          <w:sz w:val="25"/>
          <w:szCs w:val="25"/>
        </w:rPr>
        <w:t xml:space="preserve"> Here, it may be stated that the hearing of the case took place for brief periods after long gaps because we, the three members on this Bench, were sitting in di</w:t>
      </w:r>
      <w:r w:rsidRPr="001D5D93">
        <w:rPr>
          <w:rFonts w:ascii="Times New Roman" w:hAnsi="Times New Roman" w:cs="Times New Roman"/>
          <w:sz w:val="25"/>
          <w:szCs w:val="25"/>
        </w:rPr>
        <w:t xml:space="preserve">fferent combinations and this Bench could assemble specially for this matter only when all three of us could get free from the regular combinations. As a result, the </w:t>
      </w:r>
      <w:r w:rsidRPr="001D5D93">
        <w:rPr>
          <w:rStyle w:val="Bodytext11pt"/>
          <w:rFonts w:ascii="Times New Roman" w:hAnsi="Times New Roman" w:cs="Times New Roman"/>
          <w:sz w:val="25"/>
          <w:szCs w:val="25"/>
        </w:rPr>
        <w:t>Law Information Center</w:t>
      </w:r>
      <w:r w:rsidRPr="001D5D93">
        <w:rPr>
          <w:rStyle w:val="Bodytext11pt"/>
          <w:rFonts w:ascii="Times New Roman" w:hAnsi="Times New Roman" w:cs="Times New Roman"/>
          <w:sz w:val="25"/>
          <w:szCs w:val="25"/>
        </w:rPr>
        <w:tab/>
        <w:t>2</w:t>
      </w:r>
      <w:r w:rsidRPr="001D5D93">
        <w:rPr>
          <w:rStyle w:val="Bodytext11pt"/>
          <w:rFonts w:ascii="Times New Roman" w:hAnsi="Times New Roman" w:cs="Times New Roman"/>
          <w:sz w:val="25"/>
          <w:szCs w:val="25"/>
        </w:rPr>
        <w:tab/>
        <w:t xml:space="preserve">SpotLaw </w:t>
      </w:r>
      <w:r w:rsidRPr="001D5D93">
        <w:rPr>
          <w:rFonts w:ascii="Times New Roman" w:hAnsi="Times New Roman" w:cs="Times New Roman"/>
          <w:sz w:val="25"/>
          <w:szCs w:val="25"/>
        </w:rPr>
        <w:t>hearing was protracted till September 24, 2012 when the c</w:t>
      </w:r>
      <w:r w:rsidRPr="001D5D93">
        <w:rPr>
          <w:rFonts w:ascii="Times New Roman" w:hAnsi="Times New Roman" w:cs="Times New Roman"/>
          <w:sz w:val="25"/>
          <w:szCs w:val="25"/>
        </w:rPr>
        <w:t>ontemnor filed yet another additional affidavit proposing to undertake certain steps in atonement of his guilt.</w:t>
      </w:r>
    </w:p>
    <w:p w:rsidR="00AA1739" w:rsidRPr="001D5D93" w:rsidRDefault="008738AE">
      <w:pPr>
        <w:pStyle w:val="Bodytext0"/>
        <w:numPr>
          <w:ilvl w:val="0"/>
          <w:numId w:val="1"/>
        </w:numPr>
        <w:shd w:val="clear" w:color="auto" w:fill="auto"/>
        <w:tabs>
          <w:tab w:val="left" w:pos="342"/>
        </w:tabs>
        <w:spacing w:before="0" w:after="300" w:line="322" w:lineRule="exact"/>
        <w:ind w:left="20" w:right="40"/>
        <w:jc w:val="both"/>
        <w:rPr>
          <w:rFonts w:ascii="Times New Roman" w:hAnsi="Times New Roman" w:cs="Times New Roman"/>
          <w:sz w:val="25"/>
          <w:szCs w:val="25"/>
        </w:rPr>
      </w:pPr>
      <w:r w:rsidRPr="001D5D93">
        <w:rPr>
          <w:rFonts w:ascii="Times New Roman" w:hAnsi="Times New Roman" w:cs="Times New Roman"/>
          <w:sz w:val="25"/>
          <w:szCs w:val="25"/>
        </w:rPr>
        <w:t>Paragraph 2 of the affidavit which enumerates the steps which the contemnor wishes to undertake is reproduced below:-</w:t>
      </w:r>
    </w:p>
    <w:p w:rsidR="00AA1739" w:rsidRPr="001D5D93" w:rsidRDefault="008738AE">
      <w:pPr>
        <w:pStyle w:val="Bodytext0"/>
        <w:shd w:val="clear" w:color="auto" w:fill="auto"/>
        <w:spacing w:before="0" w:after="300" w:line="322" w:lineRule="exact"/>
        <w:ind w:left="740" w:right="40"/>
        <w:jc w:val="both"/>
        <w:rPr>
          <w:rFonts w:ascii="Times New Roman" w:hAnsi="Times New Roman" w:cs="Times New Roman"/>
          <w:sz w:val="25"/>
          <w:szCs w:val="25"/>
        </w:rPr>
      </w:pPr>
      <w:r w:rsidRPr="001D5D93">
        <w:rPr>
          <w:rFonts w:ascii="Times New Roman" w:hAnsi="Times New Roman" w:cs="Times New Roman"/>
          <w:sz w:val="25"/>
          <w:szCs w:val="25"/>
        </w:rPr>
        <w:t>“2. That this matter has b</w:t>
      </w:r>
      <w:r w:rsidRPr="001D5D93">
        <w:rPr>
          <w:rFonts w:ascii="Times New Roman" w:hAnsi="Times New Roman" w:cs="Times New Roman"/>
          <w:sz w:val="25"/>
          <w:szCs w:val="25"/>
        </w:rPr>
        <w:t xml:space="preserve">een pending for quite some time and it has allowed the Deponent to introspect and in addition to the unconditional apologies dated January, </w:t>
      </w:r>
      <w:r w:rsidRPr="001D5D93">
        <w:rPr>
          <w:rFonts w:ascii="Times New Roman" w:hAnsi="Times New Roman" w:cs="Times New Roman"/>
          <w:sz w:val="25"/>
          <w:szCs w:val="25"/>
        </w:rPr>
        <w:lastRenderedPageBreak/>
        <w:t>2010 and 04.05.2011 already tendered by the Deponent before this Hon’ble Court, the Deponent voluntarily submits bef</w:t>
      </w:r>
      <w:r w:rsidRPr="001D5D93">
        <w:rPr>
          <w:rFonts w:ascii="Times New Roman" w:hAnsi="Times New Roman" w:cs="Times New Roman"/>
          <w:sz w:val="25"/>
          <w:szCs w:val="25"/>
        </w:rPr>
        <w:t>ore this Hon’ble Court as under:-</w:t>
      </w:r>
    </w:p>
    <w:p w:rsidR="00AA1739" w:rsidRPr="001D5D93" w:rsidRDefault="008738AE">
      <w:pPr>
        <w:pStyle w:val="Bodytext0"/>
        <w:numPr>
          <w:ilvl w:val="0"/>
          <w:numId w:val="2"/>
        </w:numPr>
        <w:shd w:val="clear" w:color="auto" w:fill="auto"/>
        <w:spacing w:before="0" w:after="300" w:line="322" w:lineRule="exact"/>
        <w:ind w:left="740" w:right="40"/>
        <w:jc w:val="both"/>
        <w:rPr>
          <w:rFonts w:ascii="Times New Roman" w:hAnsi="Times New Roman" w:cs="Times New Roman"/>
          <w:sz w:val="25"/>
          <w:szCs w:val="25"/>
        </w:rPr>
      </w:pPr>
      <w:r w:rsidRPr="001D5D93">
        <w:rPr>
          <w:rFonts w:ascii="Times New Roman" w:hAnsi="Times New Roman" w:cs="Times New Roman"/>
          <w:sz w:val="25"/>
          <w:szCs w:val="25"/>
        </w:rPr>
        <w:t xml:space="preserve"> That the Deponent has decided to donate a sum of Rs.21 Lakhs (Rupees Twenty Lakhs (sic.) Only) through cheque favouring Bar Council of India for establishment of Computer Centre/ Library in any Law College / Institution/University which the Bar Council of</w:t>
      </w:r>
      <w:r w:rsidRPr="001D5D93">
        <w:rPr>
          <w:rFonts w:ascii="Times New Roman" w:hAnsi="Times New Roman" w:cs="Times New Roman"/>
          <w:sz w:val="25"/>
          <w:szCs w:val="25"/>
        </w:rPr>
        <w:t xml:space="preserve"> India may deem fit. Photostat copy of the Cheque No.010592 dated 20.09.2012 drawn on UCO Bank, High Court of Delhi, New Delhi in the sum of Rs.21 Lakhs (Rupees Twenty One Lakhs Only) favouring Bar Council of India along with a copy of covering letter date</w:t>
      </w:r>
      <w:r w:rsidRPr="001D5D93">
        <w:rPr>
          <w:rFonts w:ascii="Times New Roman" w:hAnsi="Times New Roman" w:cs="Times New Roman"/>
          <w:sz w:val="25"/>
          <w:szCs w:val="25"/>
        </w:rPr>
        <w:t>d 20.09.2012 addressed to the Secretary, Bar Council of India is enclosed herewith as ANNEXURE-A (Colly). The Deponent undertakes to send the cheque along with the covering letter to Bar Council of India immediately on passing of the final order by this Ho</w:t>
      </w:r>
      <w:r w:rsidRPr="001D5D93">
        <w:rPr>
          <w:rFonts w:ascii="Times New Roman" w:hAnsi="Times New Roman" w:cs="Times New Roman"/>
          <w:sz w:val="25"/>
          <w:szCs w:val="25"/>
        </w:rPr>
        <w:t>n’ble Court in the present case on 24.09.2012.</w:t>
      </w:r>
    </w:p>
    <w:p w:rsidR="00AA1739" w:rsidRPr="001D5D93" w:rsidRDefault="008738AE">
      <w:pPr>
        <w:pStyle w:val="Bodytext0"/>
        <w:numPr>
          <w:ilvl w:val="0"/>
          <w:numId w:val="2"/>
        </w:numPr>
        <w:shd w:val="clear" w:color="auto" w:fill="auto"/>
        <w:spacing w:before="0" w:after="300" w:line="322" w:lineRule="exact"/>
        <w:ind w:left="740" w:right="40"/>
        <w:jc w:val="both"/>
        <w:rPr>
          <w:rFonts w:ascii="Times New Roman" w:hAnsi="Times New Roman" w:cs="Times New Roman"/>
          <w:sz w:val="25"/>
          <w:szCs w:val="25"/>
        </w:rPr>
      </w:pPr>
      <w:r w:rsidRPr="001D5D93">
        <w:rPr>
          <w:rFonts w:ascii="Times New Roman" w:hAnsi="Times New Roman" w:cs="Times New Roman"/>
          <w:sz w:val="25"/>
          <w:szCs w:val="25"/>
        </w:rPr>
        <w:t xml:space="preserve"> That the Deponent also undertakes before this Hon’ble Court that the Deponent shall not make any earning out of the legal profession by way of Practice/Conference/ Consultation/ Legal Opinion/ Arbitration etc</w:t>
      </w:r>
      <w:r w:rsidRPr="001D5D93">
        <w:rPr>
          <w:rFonts w:ascii="Times New Roman" w:hAnsi="Times New Roman" w:cs="Times New Roman"/>
          <w:sz w:val="25"/>
          <w:szCs w:val="25"/>
        </w:rPr>
        <w:t>. in any form whatsoever for a period of 1 year from the date of order on which the apology is accepted by this Hon’ble Court and during this period his services rendered as a Lawyer/ appearances, if any will all be pro bono.</w:t>
      </w:r>
    </w:p>
    <w:p w:rsidR="00AA1739" w:rsidRPr="001D5D93" w:rsidRDefault="008738AE">
      <w:pPr>
        <w:pStyle w:val="Bodytext0"/>
        <w:numPr>
          <w:ilvl w:val="0"/>
          <w:numId w:val="2"/>
        </w:numPr>
        <w:shd w:val="clear" w:color="auto" w:fill="auto"/>
        <w:spacing w:before="0" w:line="322" w:lineRule="exact"/>
        <w:ind w:left="740" w:right="40"/>
        <w:jc w:val="both"/>
        <w:rPr>
          <w:rFonts w:ascii="Times New Roman" w:hAnsi="Times New Roman" w:cs="Times New Roman"/>
          <w:sz w:val="25"/>
          <w:szCs w:val="25"/>
        </w:rPr>
      </w:pPr>
      <w:r w:rsidRPr="001D5D93">
        <w:rPr>
          <w:rFonts w:ascii="Times New Roman" w:hAnsi="Times New Roman" w:cs="Times New Roman"/>
          <w:sz w:val="25"/>
          <w:szCs w:val="25"/>
        </w:rPr>
        <w:t xml:space="preserve"> That the Deponent also undert</w:t>
      </w:r>
      <w:r w:rsidRPr="001D5D93">
        <w:rPr>
          <w:rFonts w:ascii="Times New Roman" w:hAnsi="Times New Roman" w:cs="Times New Roman"/>
          <w:sz w:val="25"/>
          <w:szCs w:val="25"/>
        </w:rPr>
        <w:t>akes to offer his services as a lawyer for a period of 1 year as aforesaid for rendering legal aid to the poor and needy persons and for this purpose his services can be utilized by the Delhi Legal Services Authority, Patiala House Courts/ Delhi High Court</w:t>
      </w:r>
      <w:r w:rsidRPr="001D5D93">
        <w:rPr>
          <w:rFonts w:ascii="Times New Roman" w:hAnsi="Times New Roman" w:cs="Times New Roman"/>
          <w:sz w:val="25"/>
          <w:szCs w:val="25"/>
        </w:rPr>
        <w:t xml:space="preserve"> Legal Services Authority, High Court of Delhi, New Delhi/ Supreme Court Legal Services Authority, Supreme Court, New Delhi.”</w:t>
      </w:r>
    </w:p>
    <w:p w:rsidR="00AA1739" w:rsidRPr="001D5D93" w:rsidRDefault="008738AE">
      <w:pPr>
        <w:pStyle w:val="Bodytext30"/>
        <w:shd w:val="clear" w:color="auto" w:fill="auto"/>
        <w:tabs>
          <w:tab w:val="center" w:pos="5228"/>
          <w:tab w:val="right" w:pos="9332"/>
        </w:tabs>
        <w:spacing w:line="220" w:lineRule="exact"/>
        <w:ind w:left="20"/>
        <w:rPr>
          <w:rFonts w:ascii="Times New Roman" w:hAnsi="Times New Roman" w:cs="Times New Roman"/>
          <w:sz w:val="25"/>
          <w:szCs w:val="25"/>
        </w:rPr>
      </w:pPr>
      <w:r w:rsidRPr="001D5D93">
        <w:rPr>
          <w:rFonts w:ascii="Times New Roman" w:hAnsi="Times New Roman" w:cs="Times New Roman"/>
          <w:sz w:val="25"/>
          <w:szCs w:val="25"/>
        </w:rPr>
        <w:t>Law Information Center</w:t>
      </w:r>
      <w:r w:rsidRPr="001D5D93">
        <w:rPr>
          <w:rFonts w:ascii="Times New Roman" w:hAnsi="Times New Roman" w:cs="Times New Roman"/>
          <w:sz w:val="25"/>
          <w:szCs w:val="25"/>
        </w:rPr>
        <w:tab/>
        <w:t>3</w:t>
      </w:r>
      <w:r w:rsidRPr="001D5D93">
        <w:rPr>
          <w:rFonts w:ascii="Times New Roman" w:hAnsi="Times New Roman" w:cs="Times New Roman"/>
          <w:sz w:val="25"/>
          <w:szCs w:val="25"/>
        </w:rPr>
        <w:tab/>
        <w:t>SpotLaw</w:t>
      </w:r>
    </w:p>
    <w:p w:rsidR="00AA1739" w:rsidRPr="001D5D93" w:rsidRDefault="008738AE">
      <w:pPr>
        <w:pStyle w:val="Bodytext0"/>
        <w:numPr>
          <w:ilvl w:val="0"/>
          <w:numId w:val="1"/>
        </w:numPr>
        <w:shd w:val="clear" w:color="auto" w:fill="auto"/>
        <w:spacing w:before="0" w:after="300" w:line="322" w:lineRule="exact"/>
        <w:ind w:left="40" w:right="40"/>
        <w:jc w:val="both"/>
        <w:rPr>
          <w:rFonts w:ascii="Times New Roman" w:hAnsi="Times New Roman" w:cs="Times New Roman"/>
          <w:sz w:val="25"/>
          <w:szCs w:val="25"/>
        </w:rPr>
      </w:pPr>
      <w:r w:rsidRPr="001D5D93">
        <w:rPr>
          <w:rFonts w:ascii="Times New Roman" w:hAnsi="Times New Roman" w:cs="Times New Roman"/>
          <w:sz w:val="25"/>
          <w:szCs w:val="25"/>
        </w:rPr>
        <w:t xml:space="preserve"> The offence committed by the contemnor was indeed odious. In the judgment, the gravity of the of</w:t>
      </w:r>
      <w:r w:rsidRPr="001D5D93">
        <w:rPr>
          <w:rFonts w:ascii="Times New Roman" w:hAnsi="Times New Roman" w:cs="Times New Roman"/>
          <w:sz w:val="25"/>
          <w:szCs w:val="25"/>
        </w:rPr>
        <w:t>fence committed by him is discussed in detail and it is pointed out that the contemnor’s action tended to strike at the roots of the administration of criminal justice. We reaffirm the observations and findings made in the earlier judgment. Further, we hav</w:t>
      </w:r>
      <w:r w:rsidRPr="001D5D93">
        <w:rPr>
          <w:rFonts w:ascii="Times New Roman" w:hAnsi="Times New Roman" w:cs="Times New Roman"/>
          <w:sz w:val="25"/>
          <w:szCs w:val="25"/>
        </w:rPr>
        <w:t>e not the slightest doubt that normally the punishment for the criminal contempt of the nature committed by the contemnor should be a term of imprisonment.</w:t>
      </w:r>
    </w:p>
    <w:p w:rsidR="00AA1739" w:rsidRPr="001D5D93" w:rsidRDefault="008738AE">
      <w:pPr>
        <w:pStyle w:val="Bodytext0"/>
        <w:numPr>
          <w:ilvl w:val="0"/>
          <w:numId w:val="1"/>
        </w:numPr>
        <w:shd w:val="clear" w:color="auto" w:fill="auto"/>
        <w:spacing w:before="0" w:after="300" w:line="322" w:lineRule="exact"/>
        <w:ind w:left="40" w:right="40"/>
        <w:jc w:val="both"/>
        <w:rPr>
          <w:rFonts w:ascii="Times New Roman" w:hAnsi="Times New Roman" w:cs="Times New Roman"/>
          <w:sz w:val="25"/>
          <w:szCs w:val="25"/>
        </w:rPr>
      </w:pPr>
      <w:r w:rsidRPr="001D5D93">
        <w:rPr>
          <w:rFonts w:ascii="Times New Roman" w:hAnsi="Times New Roman" w:cs="Times New Roman"/>
          <w:sz w:val="25"/>
          <w:szCs w:val="25"/>
        </w:rPr>
        <w:t xml:space="preserve"> In a judicial proceeding, however, it is important not to lose complete objectivity and that compel</w:t>
      </w:r>
      <w:r w:rsidRPr="001D5D93">
        <w:rPr>
          <w:rFonts w:ascii="Times New Roman" w:hAnsi="Times New Roman" w:cs="Times New Roman"/>
          <w:sz w:val="25"/>
          <w:szCs w:val="25"/>
        </w:rPr>
        <w:t>s us to take note of certain features of this case. The contemnor is 69 years old. His wife has suffered a stroke of multiple sclerosis in the year 1992 and she is confined to the bed and a wheel chair for over 20 years. The contempt proceeding was initiat</w:t>
      </w:r>
      <w:r w:rsidRPr="001D5D93">
        <w:rPr>
          <w:rFonts w:ascii="Times New Roman" w:hAnsi="Times New Roman" w:cs="Times New Roman"/>
          <w:sz w:val="25"/>
          <w:szCs w:val="25"/>
        </w:rPr>
        <w:t>ed against the contemnor in the year 2007 and he has, thus, been facing the rigours of the proceeding for five years.</w:t>
      </w:r>
    </w:p>
    <w:p w:rsidR="00AA1739" w:rsidRPr="001D5D93" w:rsidRDefault="008738AE">
      <w:pPr>
        <w:pStyle w:val="Bodytext0"/>
        <w:numPr>
          <w:ilvl w:val="0"/>
          <w:numId w:val="1"/>
        </w:numPr>
        <w:shd w:val="clear" w:color="auto" w:fill="auto"/>
        <w:spacing w:before="0" w:after="300" w:line="322" w:lineRule="exact"/>
        <w:ind w:left="40" w:right="40"/>
        <w:jc w:val="both"/>
        <w:rPr>
          <w:rFonts w:ascii="Times New Roman" w:hAnsi="Times New Roman" w:cs="Times New Roman"/>
          <w:sz w:val="25"/>
          <w:szCs w:val="25"/>
        </w:rPr>
      </w:pPr>
      <w:r w:rsidRPr="001D5D93">
        <w:rPr>
          <w:rFonts w:ascii="Times New Roman" w:hAnsi="Times New Roman" w:cs="Times New Roman"/>
          <w:sz w:val="25"/>
          <w:szCs w:val="25"/>
        </w:rPr>
        <w:lastRenderedPageBreak/>
        <w:t xml:space="preserve"> In the meanwhile, the criminal trial from which the present proceeding arises was concluded by the trial court and the accused was found </w:t>
      </w:r>
      <w:r w:rsidRPr="001D5D93">
        <w:rPr>
          <w:rFonts w:ascii="Times New Roman" w:hAnsi="Times New Roman" w:cs="Times New Roman"/>
          <w:sz w:val="25"/>
          <w:szCs w:val="25"/>
        </w:rPr>
        <w:t>guilty under Section 304 Part II of the Penal Code. In appeal, the High Court converted his conviction to one under Section 304-A of the Penal Code. But, on further appeal by the State to this Court, the conviction of the accused was, once again, brought u</w:t>
      </w:r>
      <w:r w:rsidRPr="001D5D93">
        <w:rPr>
          <w:rFonts w:ascii="Times New Roman" w:hAnsi="Times New Roman" w:cs="Times New Roman"/>
          <w:sz w:val="25"/>
          <w:szCs w:val="25"/>
        </w:rPr>
        <w:t>nder Section 304 Part II of the Penal Code by judgment and order dated August 3, 2012. In other words, the criminal trial from which the present proceedings arise has also attained finality.</w:t>
      </w:r>
    </w:p>
    <w:p w:rsidR="00AA1739" w:rsidRPr="001D5D93" w:rsidRDefault="008738AE">
      <w:pPr>
        <w:pStyle w:val="Bodytext0"/>
        <w:numPr>
          <w:ilvl w:val="0"/>
          <w:numId w:val="1"/>
        </w:numPr>
        <w:shd w:val="clear" w:color="auto" w:fill="auto"/>
        <w:spacing w:before="0" w:after="296" w:line="322" w:lineRule="exact"/>
        <w:ind w:left="40" w:right="40"/>
        <w:jc w:val="both"/>
        <w:rPr>
          <w:rFonts w:ascii="Times New Roman" w:hAnsi="Times New Roman" w:cs="Times New Roman"/>
          <w:sz w:val="25"/>
          <w:szCs w:val="25"/>
        </w:rPr>
      </w:pPr>
      <w:r w:rsidRPr="001D5D93">
        <w:rPr>
          <w:rFonts w:ascii="Times New Roman" w:hAnsi="Times New Roman" w:cs="Times New Roman"/>
          <w:sz w:val="25"/>
          <w:szCs w:val="25"/>
        </w:rPr>
        <w:t xml:space="preserve"> The aforesaid facts and circumstances persuade us to take a slig</w:t>
      </w:r>
      <w:r w:rsidRPr="001D5D93">
        <w:rPr>
          <w:rFonts w:ascii="Times New Roman" w:hAnsi="Times New Roman" w:cs="Times New Roman"/>
          <w:sz w:val="25"/>
          <w:szCs w:val="25"/>
        </w:rPr>
        <w:t>htly lenient view of the matter. We feel that no useful purpose will be served by sending the contemnor to jail. On the contrary, by keeping him out and making him do the things that he has undertaken to do would serve a useful social purpose. We, accordin</w:t>
      </w:r>
      <w:r w:rsidRPr="001D5D93">
        <w:rPr>
          <w:rFonts w:ascii="Times New Roman" w:hAnsi="Times New Roman" w:cs="Times New Roman"/>
          <w:sz w:val="25"/>
          <w:szCs w:val="25"/>
        </w:rPr>
        <w:t>gly, accept the offer made by the contemnor.</w:t>
      </w:r>
    </w:p>
    <w:p w:rsidR="00AA1739" w:rsidRPr="001D5D93" w:rsidRDefault="008738AE">
      <w:pPr>
        <w:pStyle w:val="Bodytext0"/>
        <w:numPr>
          <w:ilvl w:val="0"/>
          <w:numId w:val="1"/>
        </w:numPr>
        <w:shd w:val="clear" w:color="auto" w:fill="auto"/>
        <w:tabs>
          <w:tab w:val="left" w:pos="5195"/>
          <w:tab w:val="right" w:pos="9352"/>
        </w:tabs>
        <w:spacing w:before="0" w:after="304" w:line="326" w:lineRule="exact"/>
        <w:ind w:left="40" w:right="40"/>
        <w:jc w:val="both"/>
        <w:rPr>
          <w:rFonts w:ascii="Times New Roman" w:hAnsi="Times New Roman" w:cs="Times New Roman"/>
          <w:sz w:val="25"/>
          <w:szCs w:val="25"/>
        </w:rPr>
      </w:pPr>
      <w:r w:rsidRPr="001D5D93">
        <w:rPr>
          <w:rFonts w:ascii="Times New Roman" w:hAnsi="Times New Roman" w:cs="Times New Roman"/>
          <w:sz w:val="25"/>
          <w:szCs w:val="25"/>
        </w:rPr>
        <w:t xml:space="preserve"> In terms of his undertaking, the contemnor shall not do any kind of professional work charging any fees or for any personal considerations for one year from today. He shall exclusively devote his professional services to help pro bono the accused who, on </w:t>
      </w:r>
      <w:r w:rsidRPr="001D5D93">
        <w:rPr>
          <w:rFonts w:ascii="Times New Roman" w:hAnsi="Times New Roman" w:cs="Times New Roman"/>
          <w:sz w:val="25"/>
          <w:szCs w:val="25"/>
        </w:rPr>
        <w:t>account of lack of resources, are not in a position to engage any lawyer to defend themselves and have no means to have their cases effectively presented before the court. The contemnor shall place his professional services at the disposal of the Delhi Leg</w:t>
      </w:r>
      <w:r w:rsidRPr="001D5D93">
        <w:rPr>
          <w:rFonts w:ascii="Times New Roman" w:hAnsi="Times New Roman" w:cs="Times New Roman"/>
          <w:sz w:val="25"/>
          <w:szCs w:val="25"/>
        </w:rPr>
        <w:t xml:space="preserve">al Services Authority which, in coordination with the Delhi High Court Legal Services Authority, will frame a </w:t>
      </w:r>
      <w:r w:rsidRPr="001D5D93">
        <w:rPr>
          <w:rStyle w:val="Bodytext11pt"/>
          <w:rFonts w:ascii="Times New Roman" w:hAnsi="Times New Roman" w:cs="Times New Roman"/>
          <w:sz w:val="25"/>
          <w:szCs w:val="25"/>
        </w:rPr>
        <w:t>Law Information Center</w:t>
      </w:r>
      <w:r w:rsidRPr="001D5D93">
        <w:rPr>
          <w:rStyle w:val="Bodytext11pt"/>
          <w:rFonts w:ascii="Times New Roman" w:hAnsi="Times New Roman" w:cs="Times New Roman"/>
          <w:sz w:val="25"/>
          <w:szCs w:val="25"/>
        </w:rPr>
        <w:tab/>
        <w:t>4</w:t>
      </w:r>
      <w:r w:rsidRPr="001D5D93">
        <w:rPr>
          <w:rStyle w:val="Bodytext11pt"/>
          <w:rFonts w:ascii="Times New Roman" w:hAnsi="Times New Roman" w:cs="Times New Roman"/>
          <w:sz w:val="25"/>
          <w:szCs w:val="25"/>
        </w:rPr>
        <w:tab/>
        <w:t>SpotLaw</w:t>
      </w:r>
      <w:r w:rsidRPr="001D5D93">
        <w:rPr>
          <w:rStyle w:val="Bodytext11pt"/>
          <w:rFonts w:ascii="Times New Roman" w:hAnsi="Times New Roman" w:cs="Times New Roman"/>
          <w:sz w:val="25"/>
          <w:szCs w:val="25"/>
        </w:rPr>
        <w:br w:type="page"/>
      </w:r>
      <w:r w:rsidRPr="001D5D93">
        <w:rPr>
          <w:rFonts w:ascii="Times New Roman" w:hAnsi="Times New Roman" w:cs="Times New Roman"/>
          <w:sz w:val="25"/>
          <w:szCs w:val="25"/>
        </w:rPr>
        <w:lastRenderedPageBreak/>
        <w:t>scheme to avail of the contemnor’s services for doing case of undefended accused either at the trial or at the ap</w:t>
      </w:r>
      <w:r w:rsidRPr="001D5D93">
        <w:rPr>
          <w:rFonts w:ascii="Times New Roman" w:hAnsi="Times New Roman" w:cs="Times New Roman"/>
          <w:sz w:val="25"/>
          <w:szCs w:val="25"/>
        </w:rPr>
        <w:t>pellate stage. The contemnor shall appear in court only in cases assigned to him by the Legal Services Authority.</w:t>
      </w:r>
    </w:p>
    <w:p w:rsidR="00AA1739" w:rsidRPr="001D5D93" w:rsidRDefault="008738AE">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1D5D93">
        <w:rPr>
          <w:rFonts w:ascii="Times New Roman" w:hAnsi="Times New Roman" w:cs="Times New Roman"/>
          <w:sz w:val="25"/>
          <w:szCs w:val="25"/>
        </w:rPr>
        <w:t xml:space="preserve"> The Delhi Legal Services Authority shall keep a record of all the cases assigned to the contemnor and the result/progress made in those cases</w:t>
      </w:r>
      <w:r w:rsidRPr="001D5D93">
        <w:rPr>
          <w:rFonts w:ascii="Times New Roman" w:hAnsi="Times New Roman" w:cs="Times New Roman"/>
          <w:sz w:val="25"/>
          <w:szCs w:val="25"/>
        </w:rPr>
        <w:t>. At the end of the year, the Delhi Legal Services Authority shall submit a report to this Court in regard to all the cases done by the contemnor at its instance which shall be placed before the Judges for perusal.</w:t>
      </w:r>
    </w:p>
    <w:p w:rsidR="00AA1739" w:rsidRPr="001D5D93" w:rsidRDefault="008738AE">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1D5D93">
        <w:rPr>
          <w:rFonts w:ascii="Times New Roman" w:hAnsi="Times New Roman" w:cs="Times New Roman"/>
          <w:sz w:val="25"/>
          <w:szCs w:val="25"/>
        </w:rPr>
        <w:t xml:space="preserve"> At the end of one year it will be open t</w:t>
      </w:r>
      <w:r w:rsidRPr="001D5D93">
        <w:rPr>
          <w:rFonts w:ascii="Times New Roman" w:hAnsi="Times New Roman" w:cs="Times New Roman"/>
          <w:sz w:val="25"/>
          <w:szCs w:val="25"/>
        </w:rPr>
        <w:t>o the contemnor to resume his private law practice. But he shall not leave any case assigned to him by the Legal Services Authority incomplete. He shall continue to do those cases, free of cost, till they come to a close.</w:t>
      </w:r>
    </w:p>
    <w:p w:rsidR="00AA1739" w:rsidRPr="001D5D93" w:rsidRDefault="008738AE">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1D5D93">
        <w:rPr>
          <w:rFonts w:ascii="Times New Roman" w:hAnsi="Times New Roman" w:cs="Times New Roman"/>
          <w:sz w:val="25"/>
          <w:szCs w:val="25"/>
        </w:rPr>
        <w:t xml:space="preserve"> The contemnor shall pay a sum of </w:t>
      </w:r>
      <w:r w:rsidRPr="001D5D93">
        <w:rPr>
          <w:rFonts w:ascii="Times New Roman" w:hAnsi="Times New Roman" w:cs="Times New Roman"/>
          <w:sz w:val="25"/>
          <w:szCs w:val="25"/>
        </w:rPr>
        <w:t xml:space="preserve">Rs.21,00,000/- (Rupees Twenty One Lakhs) through a demand draft to the Bar Council of India within one week from today. The Bar Council shall give the money to a law college preferably situated at a muffassil place and attended mostly by children from the </w:t>
      </w:r>
      <w:r w:rsidRPr="001D5D93">
        <w:rPr>
          <w:rFonts w:ascii="Times New Roman" w:hAnsi="Times New Roman" w:cs="Times New Roman"/>
          <w:sz w:val="25"/>
          <w:szCs w:val="25"/>
        </w:rPr>
        <w:t>under-privileged and deprived sections of the society. The money may be used for developing the infrastructure of the college, such as class rooms, library, computer facilities or moot court facilities, etc. The Bar Council of India will ensure a proper ut</w:t>
      </w:r>
      <w:r w:rsidRPr="001D5D93">
        <w:rPr>
          <w:rFonts w:ascii="Times New Roman" w:hAnsi="Times New Roman" w:cs="Times New Roman"/>
          <w:sz w:val="25"/>
          <w:szCs w:val="25"/>
        </w:rPr>
        <w:t>ilisation of the money.</w:t>
      </w:r>
    </w:p>
    <w:p w:rsidR="00AA1739" w:rsidRPr="001D5D93" w:rsidRDefault="008738AE">
      <w:pPr>
        <w:pStyle w:val="Bodytext0"/>
        <w:numPr>
          <w:ilvl w:val="0"/>
          <w:numId w:val="1"/>
        </w:numPr>
        <w:shd w:val="clear" w:color="auto" w:fill="auto"/>
        <w:spacing w:before="0" w:after="43" w:line="322" w:lineRule="exact"/>
        <w:ind w:left="20" w:right="20"/>
        <w:jc w:val="both"/>
        <w:rPr>
          <w:rFonts w:ascii="Times New Roman" w:hAnsi="Times New Roman" w:cs="Times New Roman"/>
          <w:sz w:val="25"/>
          <w:szCs w:val="25"/>
        </w:rPr>
      </w:pPr>
      <w:r w:rsidRPr="001D5D93">
        <w:rPr>
          <w:rFonts w:ascii="Times New Roman" w:hAnsi="Times New Roman" w:cs="Times New Roman"/>
          <w:sz w:val="25"/>
          <w:szCs w:val="25"/>
        </w:rPr>
        <w:t xml:space="preserve"> With the aforesaid observations and directions, the proceedings of this case are closed.</w:t>
      </w:r>
    </w:p>
    <w:p w:rsidR="00AA1739" w:rsidRPr="001D5D93" w:rsidRDefault="008738AE">
      <w:pPr>
        <w:pStyle w:val="Bodytext0"/>
        <w:numPr>
          <w:ilvl w:val="0"/>
          <w:numId w:val="1"/>
        </w:numPr>
        <w:shd w:val="clear" w:color="auto" w:fill="auto"/>
        <w:spacing w:before="0"/>
        <w:ind w:left="20" w:right="120"/>
        <w:jc w:val="both"/>
        <w:rPr>
          <w:rFonts w:ascii="Times New Roman" w:hAnsi="Times New Roman" w:cs="Times New Roman"/>
          <w:sz w:val="25"/>
          <w:szCs w:val="25"/>
        </w:rPr>
        <w:sectPr w:rsidR="00AA1739" w:rsidRPr="001D5D93">
          <w:type w:val="continuous"/>
          <w:pgSz w:w="12240" w:h="15840"/>
          <w:pgMar w:top="1478" w:right="1274" w:bottom="1478" w:left="1298" w:header="0" w:footer="3" w:gutter="0"/>
          <w:cols w:space="720"/>
          <w:noEndnote/>
          <w:docGrid w:linePitch="360"/>
        </w:sectPr>
      </w:pPr>
      <w:r w:rsidRPr="001D5D93">
        <w:rPr>
          <w:rFonts w:ascii="Times New Roman" w:hAnsi="Times New Roman" w:cs="Times New Roman"/>
          <w:sz w:val="25"/>
          <w:szCs w:val="25"/>
        </w:rPr>
        <w:t xml:space="preserve"> The criminal miscellaneous petition No.21373 of 2012 also stands disposed of. [1] (2009) 8 SCC 106</w:t>
      </w:r>
    </w:p>
    <w:p w:rsidR="00AA1739" w:rsidRPr="001D5D93" w:rsidRDefault="00AA1739">
      <w:pPr>
        <w:spacing w:line="240" w:lineRule="exact"/>
        <w:rPr>
          <w:rFonts w:ascii="Times New Roman" w:hAnsi="Times New Roman" w:cs="Times New Roman"/>
          <w:sz w:val="25"/>
          <w:szCs w:val="25"/>
        </w:rPr>
      </w:pPr>
    </w:p>
    <w:p w:rsidR="00AA1739" w:rsidRPr="001D5D93" w:rsidRDefault="00AA1739">
      <w:pPr>
        <w:spacing w:line="240" w:lineRule="exact"/>
        <w:rPr>
          <w:rFonts w:ascii="Times New Roman" w:hAnsi="Times New Roman" w:cs="Times New Roman"/>
          <w:sz w:val="25"/>
          <w:szCs w:val="25"/>
        </w:rPr>
      </w:pPr>
    </w:p>
    <w:p w:rsidR="00AA1739" w:rsidRPr="001D5D93" w:rsidRDefault="00AA1739">
      <w:pPr>
        <w:spacing w:line="240" w:lineRule="exact"/>
        <w:rPr>
          <w:rFonts w:ascii="Times New Roman" w:hAnsi="Times New Roman" w:cs="Times New Roman"/>
          <w:sz w:val="25"/>
          <w:szCs w:val="25"/>
        </w:rPr>
      </w:pPr>
    </w:p>
    <w:p w:rsidR="00AA1739" w:rsidRPr="001D5D93" w:rsidRDefault="00AA1739">
      <w:pPr>
        <w:spacing w:line="240" w:lineRule="exact"/>
        <w:rPr>
          <w:rFonts w:ascii="Times New Roman" w:hAnsi="Times New Roman" w:cs="Times New Roman"/>
          <w:sz w:val="25"/>
          <w:szCs w:val="25"/>
        </w:rPr>
      </w:pPr>
    </w:p>
    <w:p w:rsidR="00AA1739" w:rsidRPr="001D5D93" w:rsidRDefault="00AA1739">
      <w:pPr>
        <w:spacing w:line="240" w:lineRule="exact"/>
        <w:rPr>
          <w:rFonts w:ascii="Times New Roman" w:hAnsi="Times New Roman" w:cs="Times New Roman"/>
          <w:sz w:val="25"/>
          <w:szCs w:val="25"/>
        </w:rPr>
      </w:pPr>
    </w:p>
    <w:p w:rsidR="00AA1739" w:rsidRPr="001D5D93" w:rsidRDefault="00AA1739">
      <w:pPr>
        <w:spacing w:line="240" w:lineRule="exact"/>
        <w:rPr>
          <w:rFonts w:ascii="Times New Roman" w:hAnsi="Times New Roman" w:cs="Times New Roman"/>
          <w:sz w:val="25"/>
          <w:szCs w:val="25"/>
        </w:rPr>
      </w:pPr>
    </w:p>
    <w:p w:rsidR="00AA1739" w:rsidRPr="001D5D93" w:rsidRDefault="00AA1739">
      <w:pPr>
        <w:spacing w:line="240" w:lineRule="exact"/>
        <w:rPr>
          <w:rFonts w:ascii="Times New Roman" w:hAnsi="Times New Roman" w:cs="Times New Roman"/>
          <w:sz w:val="25"/>
          <w:szCs w:val="25"/>
        </w:rPr>
      </w:pPr>
    </w:p>
    <w:p w:rsidR="00AA1739" w:rsidRPr="001D5D93" w:rsidRDefault="00AA1739">
      <w:pPr>
        <w:spacing w:line="240" w:lineRule="exact"/>
        <w:rPr>
          <w:rFonts w:ascii="Times New Roman" w:hAnsi="Times New Roman" w:cs="Times New Roman"/>
          <w:sz w:val="25"/>
          <w:szCs w:val="25"/>
        </w:rPr>
      </w:pPr>
    </w:p>
    <w:p w:rsidR="00AA1739" w:rsidRPr="001D5D93" w:rsidRDefault="00AA1739">
      <w:pPr>
        <w:spacing w:line="240" w:lineRule="exact"/>
        <w:rPr>
          <w:rFonts w:ascii="Times New Roman" w:hAnsi="Times New Roman" w:cs="Times New Roman"/>
          <w:sz w:val="25"/>
          <w:szCs w:val="25"/>
        </w:rPr>
      </w:pPr>
    </w:p>
    <w:p w:rsidR="00AA1739" w:rsidRPr="001D5D93" w:rsidRDefault="00AA1739">
      <w:pPr>
        <w:spacing w:line="240" w:lineRule="exact"/>
        <w:rPr>
          <w:rFonts w:ascii="Times New Roman" w:hAnsi="Times New Roman" w:cs="Times New Roman"/>
          <w:sz w:val="25"/>
          <w:szCs w:val="25"/>
        </w:rPr>
      </w:pPr>
    </w:p>
    <w:p w:rsidR="00AA1739" w:rsidRPr="001D5D93" w:rsidRDefault="00AA1739">
      <w:pPr>
        <w:spacing w:line="240" w:lineRule="exact"/>
        <w:rPr>
          <w:rFonts w:ascii="Times New Roman" w:hAnsi="Times New Roman" w:cs="Times New Roman"/>
          <w:sz w:val="25"/>
          <w:szCs w:val="25"/>
        </w:rPr>
      </w:pPr>
    </w:p>
    <w:p w:rsidR="00AA1739" w:rsidRPr="001D5D93" w:rsidRDefault="00AA1739">
      <w:pPr>
        <w:spacing w:before="42" w:after="42" w:line="240" w:lineRule="exact"/>
        <w:rPr>
          <w:rFonts w:ascii="Times New Roman" w:hAnsi="Times New Roman" w:cs="Times New Roman"/>
          <w:sz w:val="25"/>
          <w:szCs w:val="25"/>
        </w:rPr>
      </w:pPr>
    </w:p>
    <w:p w:rsidR="00AA1739" w:rsidRPr="001D5D93" w:rsidRDefault="00AA1739">
      <w:pPr>
        <w:rPr>
          <w:rFonts w:ascii="Times New Roman" w:hAnsi="Times New Roman" w:cs="Times New Roman"/>
          <w:sz w:val="25"/>
          <w:szCs w:val="25"/>
        </w:rPr>
        <w:sectPr w:rsidR="00AA1739" w:rsidRPr="001D5D93">
          <w:type w:val="continuous"/>
          <w:pgSz w:w="12240" w:h="15840"/>
          <w:pgMar w:top="0" w:right="0" w:bottom="0" w:left="0" w:header="0" w:footer="3" w:gutter="0"/>
          <w:cols w:space="720"/>
          <w:noEndnote/>
          <w:docGrid w:linePitch="360"/>
        </w:sectPr>
      </w:pPr>
    </w:p>
    <w:p w:rsidR="00AA1739" w:rsidRPr="001D5D93" w:rsidRDefault="008738AE">
      <w:pPr>
        <w:pStyle w:val="Bodytext30"/>
        <w:framePr w:h="216" w:wrap="around" w:vAnchor="text" w:hAnchor="margin" w:x="8500" w:y="6"/>
        <w:shd w:val="clear" w:color="auto" w:fill="auto"/>
        <w:spacing w:line="210" w:lineRule="exact"/>
        <w:ind w:left="100"/>
        <w:jc w:val="left"/>
        <w:rPr>
          <w:rFonts w:ascii="Times New Roman" w:hAnsi="Times New Roman" w:cs="Times New Roman"/>
          <w:sz w:val="25"/>
          <w:szCs w:val="25"/>
        </w:rPr>
      </w:pPr>
      <w:r w:rsidRPr="001D5D93">
        <w:rPr>
          <w:rStyle w:val="Bodytext3Exact"/>
          <w:rFonts w:ascii="Times New Roman" w:hAnsi="Times New Roman" w:cs="Times New Roman"/>
          <w:spacing w:val="0"/>
          <w:sz w:val="25"/>
          <w:szCs w:val="25"/>
        </w:rPr>
        <w:t>SpotLaw</w:t>
      </w:r>
    </w:p>
    <w:p w:rsidR="00AA1739" w:rsidRPr="001D5D93" w:rsidRDefault="008738AE">
      <w:pPr>
        <w:pStyle w:val="Bodytext30"/>
        <w:framePr w:h="210" w:wrap="around" w:vAnchor="text" w:hAnchor="margin" w:x="5198" w:y="1"/>
        <w:shd w:val="clear" w:color="auto" w:fill="auto"/>
        <w:spacing w:line="210" w:lineRule="exact"/>
        <w:ind w:left="100"/>
        <w:jc w:val="left"/>
        <w:rPr>
          <w:rFonts w:ascii="Times New Roman" w:hAnsi="Times New Roman" w:cs="Times New Roman"/>
          <w:sz w:val="25"/>
          <w:szCs w:val="25"/>
        </w:rPr>
      </w:pPr>
      <w:r w:rsidRPr="001D5D93">
        <w:rPr>
          <w:rStyle w:val="Bodytext3Exact"/>
          <w:rFonts w:ascii="Times New Roman" w:hAnsi="Times New Roman" w:cs="Times New Roman"/>
          <w:spacing w:val="0"/>
          <w:sz w:val="25"/>
          <w:szCs w:val="25"/>
        </w:rPr>
        <w:t>5</w:t>
      </w:r>
    </w:p>
    <w:p w:rsidR="00AA1739" w:rsidRPr="001D5D93" w:rsidRDefault="008738AE">
      <w:pPr>
        <w:pStyle w:val="Bodytext30"/>
        <w:shd w:val="clear" w:color="auto" w:fill="auto"/>
        <w:spacing w:line="220" w:lineRule="exact"/>
        <w:jc w:val="left"/>
        <w:rPr>
          <w:rFonts w:ascii="Times New Roman" w:hAnsi="Times New Roman" w:cs="Times New Roman"/>
          <w:sz w:val="25"/>
          <w:szCs w:val="25"/>
        </w:rPr>
      </w:pPr>
      <w:r w:rsidRPr="001D5D93">
        <w:rPr>
          <w:rFonts w:ascii="Times New Roman" w:hAnsi="Times New Roman" w:cs="Times New Roman"/>
          <w:sz w:val="25"/>
          <w:szCs w:val="25"/>
        </w:rPr>
        <w:lastRenderedPageBreak/>
        <w:t>Law Information Center</w:t>
      </w:r>
    </w:p>
    <w:sectPr w:rsidR="00AA1739" w:rsidRPr="001D5D93" w:rsidSect="00AA1739">
      <w:type w:val="continuous"/>
      <w:pgSz w:w="12240" w:h="15840"/>
      <w:pgMar w:top="1155" w:right="8203" w:bottom="1203" w:left="145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8AE" w:rsidRDefault="008738AE" w:rsidP="00AA1739">
      <w:r>
        <w:separator/>
      </w:r>
    </w:p>
  </w:endnote>
  <w:endnote w:type="continuationSeparator" w:id="1">
    <w:p w:rsidR="008738AE" w:rsidRDefault="008738AE" w:rsidP="00AA1739">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8AE" w:rsidRDefault="008738AE"/>
  </w:footnote>
  <w:footnote w:type="continuationSeparator" w:id="1">
    <w:p w:rsidR="008738AE" w:rsidRDefault="008738A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70D7E"/>
    <w:multiLevelType w:val="multilevel"/>
    <w:tmpl w:val="77124866"/>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2F5DC3"/>
    <w:multiLevelType w:val="multilevel"/>
    <w:tmpl w:val="AF608942"/>
    <w:lvl w:ilvl="0">
      <w:start w:val="1"/>
      <w:numFmt w:val="upp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AA1739"/>
    <w:rsid w:val="001D5D93"/>
    <w:rsid w:val="008738AE"/>
    <w:rsid w:val="00AA1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173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1739"/>
    <w:rPr>
      <w:color w:val="0066CC"/>
      <w:u w:val="single"/>
    </w:rPr>
  </w:style>
  <w:style w:type="character" w:customStyle="1" w:styleId="Bodytext2">
    <w:name w:val="Body text (2)_"/>
    <w:basedOn w:val="DefaultParagraphFont"/>
    <w:link w:val="Bodytext20"/>
    <w:rsid w:val="00AA1739"/>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AA1739"/>
    <w:rPr>
      <w:rFonts w:ascii="David" w:eastAsia="David" w:hAnsi="David" w:cs="David"/>
      <w:b w:val="0"/>
      <w:bCs w:val="0"/>
      <w:i w:val="0"/>
      <w:iCs w:val="0"/>
      <w:smallCaps w:val="0"/>
      <w:strike w:val="0"/>
      <w:sz w:val="26"/>
      <w:szCs w:val="26"/>
      <w:u w:val="none"/>
    </w:rPr>
  </w:style>
  <w:style w:type="character" w:customStyle="1" w:styleId="Bodytext3">
    <w:name w:val="Body text (3)_"/>
    <w:basedOn w:val="DefaultParagraphFont"/>
    <w:link w:val="Bodytext30"/>
    <w:rsid w:val="00AA1739"/>
    <w:rPr>
      <w:rFonts w:ascii="David" w:eastAsia="David" w:hAnsi="David" w:cs="David"/>
      <w:b w:val="0"/>
      <w:bCs w:val="0"/>
      <w:i w:val="0"/>
      <w:iCs w:val="0"/>
      <w:smallCaps w:val="0"/>
      <w:strike w:val="0"/>
      <w:sz w:val="22"/>
      <w:szCs w:val="22"/>
      <w:u w:val="none"/>
    </w:rPr>
  </w:style>
  <w:style w:type="character" w:customStyle="1" w:styleId="Bodytext11pt">
    <w:name w:val="Body text + 11 pt"/>
    <w:basedOn w:val="Bodytext"/>
    <w:rsid w:val="00AA1739"/>
    <w:rPr>
      <w:color w:val="000000"/>
      <w:spacing w:val="0"/>
      <w:w w:val="100"/>
      <w:position w:val="0"/>
      <w:sz w:val="22"/>
      <w:szCs w:val="22"/>
      <w:lang w:val="en-US" w:eastAsia="en-US" w:bidi="en-US"/>
    </w:rPr>
  </w:style>
  <w:style w:type="character" w:customStyle="1" w:styleId="Bodytext3Exact">
    <w:name w:val="Body text (3) Exact"/>
    <w:basedOn w:val="DefaultParagraphFont"/>
    <w:rsid w:val="00AA1739"/>
    <w:rPr>
      <w:rFonts w:ascii="David" w:eastAsia="David" w:hAnsi="David" w:cs="David"/>
      <w:b w:val="0"/>
      <w:bCs w:val="0"/>
      <w:i w:val="0"/>
      <w:iCs w:val="0"/>
      <w:smallCaps w:val="0"/>
      <w:strike w:val="0"/>
      <w:spacing w:val="3"/>
      <w:sz w:val="21"/>
      <w:szCs w:val="21"/>
      <w:u w:val="none"/>
    </w:rPr>
  </w:style>
  <w:style w:type="paragraph" w:customStyle="1" w:styleId="Bodytext20">
    <w:name w:val="Body text (2)"/>
    <w:basedOn w:val="Normal"/>
    <w:link w:val="Bodytext2"/>
    <w:rsid w:val="00AA1739"/>
    <w:pPr>
      <w:shd w:val="clear" w:color="auto" w:fill="FFFFFF"/>
      <w:spacing w:after="420" w:line="0" w:lineRule="atLeast"/>
      <w:jc w:val="center"/>
    </w:pPr>
    <w:rPr>
      <w:rFonts w:ascii="David" w:eastAsia="David" w:hAnsi="David" w:cs="David"/>
      <w:b/>
      <w:bCs/>
      <w:sz w:val="28"/>
      <w:szCs w:val="28"/>
    </w:rPr>
  </w:style>
  <w:style w:type="paragraph" w:customStyle="1" w:styleId="Bodytext0">
    <w:name w:val="Body text"/>
    <w:basedOn w:val="Normal"/>
    <w:link w:val="Bodytext"/>
    <w:rsid w:val="00AA1739"/>
    <w:pPr>
      <w:shd w:val="clear" w:color="auto" w:fill="FFFFFF"/>
      <w:spacing w:before="420" w:line="643" w:lineRule="exact"/>
      <w:jc w:val="center"/>
    </w:pPr>
    <w:rPr>
      <w:rFonts w:ascii="David" w:eastAsia="David" w:hAnsi="David" w:cs="David"/>
      <w:sz w:val="26"/>
      <w:szCs w:val="26"/>
    </w:rPr>
  </w:style>
  <w:style w:type="paragraph" w:customStyle="1" w:styleId="Bodytext30">
    <w:name w:val="Body text (3)"/>
    <w:basedOn w:val="Normal"/>
    <w:link w:val="Bodytext3"/>
    <w:rsid w:val="00AA1739"/>
    <w:pPr>
      <w:shd w:val="clear" w:color="auto" w:fill="FFFFFF"/>
      <w:spacing w:line="0" w:lineRule="atLeast"/>
      <w:jc w:val="both"/>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9152</Characters>
  <Application>Microsoft Office Word</Application>
  <DocSecurity>0</DocSecurity>
  <Lines>76</Lines>
  <Paragraphs>21</Paragraphs>
  <ScaleCrop>false</ScaleCrop>
  <Company/>
  <LinksUpToDate>false</LinksUpToDate>
  <CharactersWithSpaces>10736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2017-06-29T12:26:00Z</dcterms:created>
  <dcterms:modified xsi:type="dcterms:W3CDTF">2017-06-29T12:26:00Z</dcterms:modified>
</cp:coreProperties>
</file>