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0FD" w:rsidRPr="00465D65" w:rsidRDefault="00F5533D">
      <w:pPr>
        <w:pStyle w:val="Bodytext20"/>
        <w:shd w:val="clear" w:color="auto" w:fill="auto"/>
        <w:spacing w:after="52" w:line="280" w:lineRule="exact"/>
        <w:rPr>
          <w:rFonts w:ascii="Times New Roman" w:hAnsi="Times New Roman" w:cs="Times New Roman"/>
          <w:sz w:val="25"/>
          <w:szCs w:val="25"/>
        </w:rPr>
      </w:pPr>
      <w:r w:rsidRPr="00465D65">
        <w:rPr>
          <w:rFonts w:ascii="Times New Roman" w:hAnsi="Times New Roman" w:cs="Times New Roman"/>
          <w:sz w:val="25"/>
          <w:szCs w:val="25"/>
        </w:rPr>
        <w:t>SUPREME COURT OF INDIA</w:t>
      </w:r>
    </w:p>
    <w:p w:rsidR="00465D65" w:rsidRPr="00465D65" w:rsidRDefault="00F5533D">
      <w:pPr>
        <w:pStyle w:val="Bodytext0"/>
        <w:shd w:val="clear" w:color="auto" w:fill="auto"/>
        <w:spacing w:before="0"/>
        <w:rPr>
          <w:rFonts w:ascii="Times New Roman" w:hAnsi="Times New Roman" w:cs="Times New Roman"/>
          <w:sz w:val="25"/>
          <w:szCs w:val="25"/>
        </w:rPr>
      </w:pPr>
      <w:r w:rsidRPr="00465D65">
        <w:rPr>
          <w:rFonts w:ascii="Times New Roman" w:hAnsi="Times New Roman" w:cs="Times New Roman"/>
          <w:sz w:val="25"/>
          <w:szCs w:val="25"/>
        </w:rPr>
        <w:t xml:space="preserve">Shailendra Bhardwaj </w:t>
      </w:r>
    </w:p>
    <w:p w:rsidR="002350FD" w:rsidRPr="00465D65" w:rsidRDefault="00F5533D">
      <w:pPr>
        <w:pStyle w:val="Bodytext0"/>
        <w:shd w:val="clear" w:color="auto" w:fill="auto"/>
        <w:spacing w:before="0"/>
        <w:rPr>
          <w:rFonts w:ascii="Times New Roman" w:hAnsi="Times New Roman" w:cs="Times New Roman"/>
          <w:sz w:val="25"/>
          <w:szCs w:val="25"/>
        </w:rPr>
      </w:pPr>
      <w:r w:rsidRPr="00465D65">
        <w:rPr>
          <w:rFonts w:ascii="Times New Roman" w:hAnsi="Times New Roman" w:cs="Times New Roman"/>
          <w:sz w:val="25"/>
          <w:szCs w:val="25"/>
        </w:rPr>
        <w:t>Vs.</w:t>
      </w:r>
    </w:p>
    <w:p w:rsidR="00465D65" w:rsidRPr="00465D65" w:rsidRDefault="00F5533D">
      <w:pPr>
        <w:pStyle w:val="Bodytext0"/>
        <w:shd w:val="clear" w:color="auto" w:fill="auto"/>
        <w:spacing w:before="0"/>
        <w:rPr>
          <w:rFonts w:ascii="Times New Roman" w:hAnsi="Times New Roman" w:cs="Times New Roman"/>
          <w:sz w:val="25"/>
          <w:szCs w:val="25"/>
        </w:rPr>
      </w:pPr>
      <w:r w:rsidRPr="00465D65">
        <w:rPr>
          <w:rFonts w:ascii="Times New Roman" w:hAnsi="Times New Roman" w:cs="Times New Roman"/>
          <w:sz w:val="25"/>
          <w:szCs w:val="25"/>
        </w:rPr>
        <w:t xml:space="preserve">Chandra Pal </w:t>
      </w:r>
    </w:p>
    <w:p w:rsidR="00465D65" w:rsidRPr="00465D65" w:rsidRDefault="00F5533D">
      <w:pPr>
        <w:pStyle w:val="Bodytext0"/>
        <w:shd w:val="clear" w:color="auto" w:fill="auto"/>
        <w:spacing w:before="0"/>
        <w:rPr>
          <w:rFonts w:ascii="Times New Roman" w:hAnsi="Times New Roman" w:cs="Times New Roman"/>
          <w:sz w:val="25"/>
          <w:szCs w:val="25"/>
        </w:rPr>
      </w:pPr>
      <w:r w:rsidRPr="00465D65">
        <w:rPr>
          <w:rFonts w:ascii="Times New Roman" w:hAnsi="Times New Roman" w:cs="Times New Roman"/>
          <w:sz w:val="25"/>
          <w:szCs w:val="25"/>
        </w:rPr>
        <w:t xml:space="preserve">C.A.No.8196 of 2012 </w:t>
      </w:r>
    </w:p>
    <w:p w:rsidR="002350FD" w:rsidRPr="00465D65" w:rsidRDefault="00F5533D">
      <w:pPr>
        <w:pStyle w:val="Bodytext0"/>
        <w:shd w:val="clear" w:color="auto" w:fill="auto"/>
        <w:spacing w:before="0"/>
        <w:rPr>
          <w:rFonts w:ascii="Times New Roman" w:hAnsi="Times New Roman" w:cs="Times New Roman"/>
          <w:sz w:val="25"/>
          <w:szCs w:val="25"/>
        </w:rPr>
      </w:pPr>
      <w:r w:rsidRPr="00465D65">
        <w:rPr>
          <w:rFonts w:ascii="Times New Roman" w:hAnsi="Times New Roman" w:cs="Times New Roman"/>
          <w:sz w:val="25"/>
          <w:szCs w:val="25"/>
        </w:rPr>
        <w:t>(K.S.Radhakrishnan and Dipak Misra JJ.)</w:t>
      </w:r>
    </w:p>
    <w:p w:rsidR="002350FD" w:rsidRPr="00465D65" w:rsidRDefault="00F5533D">
      <w:pPr>
        <w:pStyle w:val="Bodytext0"/>
        <w:shd w:val="clear" w:color="auto" w:fill="auto"/>
        <w:spacing w:before="0"/>
        <w:rPr>
          <w:rFonts w:ascii="Times New Roman" w:hAnsi="Times New Roman" w:cs="Times New Roman"/>
          <w:sz w:val="25"/>
          <w:szCs w:val="25"/>
        </w:rPr>
      </w:pPr>
      <w:r w:rsidRPr="00465D65">
        <w:rPr>
          <w:rFonts w:ascii="Times New Roman" w:hAnsi="Times New Roman" w:cs="Times New Roman"/>
          <w:sz w:val="25"/>
          <w:szCs w:val="25"/>
        </w:rPr>
        <w:t>21.11.2012</w:t>
      </w:r>
    </w:p>
    <w:p w:rsidR="002350FD" w:rsidRPr="00465D65" w:rsidRDefault="00F5533D">
      <w:pPr>
        <w:pStyle w:val="Bodytext20"/>
        <w:shd w:val="clear" w:color="auto" w:fill="auto"/>
        <w:spacing w:after="0" w:line="643" w:lineRule="exact"/>
        <w:rPr>
          <w:rFonts w:ascii="Times New Roman" w:hAnsi="Times New Roman" w:cs="Times New Roman"/>
          <w:sz w:val="25"/>
          <w:szCs w:val="25"/>
        </w:rPr>
      </w:pPr>
      <w:r w:rsidRPr="00465D65">
        <w:rPr>
          <w:rFonts w:ascii="Times New Roman" w:hAnsi="Times New Roman" w:cs="Times New Roman"/>
          <w:sz w:val="25"/>
          <w:szCs w:val="25"/>
        </w:rPr>
        <w:t>JUDGMENT</w:t>
      </w:r>
    </w:p>
    <w:p w:rsidR="002350FD" w:rsidRPr="00465D65" w:rsidRDefault="00465D65">
      <w:pPr>
        <w:pStyle w:val="Bodytext20"/>
        <w:shd w:val="clear" w:color="auto" w:fill="auto"/>
        <w:spacing w:after="0" w:line="643" w:lineRule="exact"/>
        <w:ind w:left="20"/>
        <w:jc w:val="both"/>
        <w:rPr>
          <w:rFonts w:ascii="Times New Roman" w:hAnsi="Times New Roman" w:cs="Times New Roman"/>
          <w:sz w:val="25"/>
          <w:szCs w:val="25"/>
        </w:rPr>
      </w:pPr>
      <w:r w:rsidRPr="00465D65">
        <w:rPr>
          <w:rFonts w:ascii="Times New Roman" w:hAnsi="Times New Roman" w:cs="Times New Roman"/>
          <w:sz w:val="25"/>
          <w:szCs w:val="25"/>
        </w:rPr>
        <w:t>K. S. Radhakrishnan,J</w:t>
      </w:r>
      <w:r w:rsidR="00F5533D" w:rsidRPr="00465D65">
        <w:rPr>
          <w:rFonts w:ascii="Times New Roman" w:hAnsi="Times New Roman" w:cs="Times New Roman"/>
          <w:sz w:val="25"/>
          <w:szCs w:val="25"/>
        </w:rPr>
        <w:t>.</w:t>
      </w:r>
    </w:p>
    <w:p w:rsidR="002350FD" w:rsidRPr="00465D65" w:rsidRDefault="00F5533D">
      <w:pPr>
        <w:pStyle w:val="Bodytext0"/>
        <w:numPr>
          <w:ilvl w:val="0"/>
          <w:numId w:val="1"/>
        </w:numPr>
        <w:shd w:val="clear" w:color="auto" w:fill="auto"/>
        <w:spacing w:before="0"/>
        <w:ind w:left="20"/>
        <w:jc w:val="both"/>
        <w:rPr>
          <w:rFonts w:ascii="Times New Roman" w:hAnsi="Times New Roman" w:cs="Times New Roman"/>
          <w:sz w:val="25"/>
          <w:szCs w:val="25"/>
        </w:rPr>
      </w:pPr>
      <w:r w:rsidRPr="00465D65">
        <w:rPr>
          <w:rFonts w:ascii="Times New Roman" w:hAnsi="Times New Roman" w:cs="Times New Roman"/>
          <w:sz w:val="25"/>
          <w:szCs w:val="25"/>
        </w:rPr>
        <w:t xml:space="preserve"> Leave granted.</w:t>
      </w:r>
    </w:p>
    <w:p w:rsidR="002350FD" w:rsidRPr="00465D65" w:rsidRDefault="00F5533D">
      <w:pPr>
        <w:pStyle w:val="Bodytext0"/>
        <w:numPr>
          <w:ilvl w:val="0"/>
          <w:numId w:val="1"/>
        </w:numPr>
        <w:shd w:val="clear" w:color="auto" w:fill="auto"/>
        <w:spacing w:before="0" w:after="296" w:line="317" w:lineRule="exact"/>
        <w:ind w:left="20" w:right="20"/>
        <w:jc w:val="both"/>
        <w:rPr>
          <w:rFonts w:ascii="Times New Roman" w:hAnsi="Times New Roman" w:cs="Times New Roman"/>
          <w:sz w:val="25"/>
          <w:szCs w:val="25"/>
        </w:rPr>
      </w:pPr>
      <w:r w:rsidRPr="00465D65">
        <w:rPr>
          <w:rFonts w:ascii="Times New Roman" w:hAnsi="Times New Roman" w:cs="Times New Roman"/>
          <w:sz w:val="25"/>
          <w:szCs w:val="25"/>
        </w:rPr>
        <w:t xml:space="preserve"> The short question that has come up for consideration in this case is whether a suit filed seeking a declaration that a will and a sale deed are void, resulting their cancellation, will fall under Section 7(iv-A) of the Court Fees Act, 1870, as amended by</w:t>
      </w:r>
      <w:r w:rsidRPr="00465D65">
        <w:rPr>
          <w:rFonts w:ascii="Times New Roman" w:hAnsi="Times New Roman" w:cs="Times New Roman"/>
          <w:sz w:val="25"/>
          <w:szCs w:val="25"/>
        </w:rPr>
        <w:t xml:space="preserve"> the U.P. Amendment Act (Act XIX of 1938) [for short ‘the U.P. Amendment Act’] or Article 17(iii) of Schedule II of the Court Fees Act, 1870 for the purpose of valuation.</w:t>
      </w:r>
    </w:p>
    <w:p w:rsidR="002350FD" w:rsidRPr="00465D65" w:rsidRDefault="00F5533D">
      <w:pPr>
        <w:pStyle w:val="Bodytext0"/>
        <w:numPr>
          <w:ilvl w:val="0"/>
          <w:numId w:val="1"/>
        </w:numPr>
        <w:shd w:val="clear" w:color="auto" w:fill="auto"/>
        <w:spacing w:before="0" w:after="300" w:line="322" w:lineRule="exact"/>
        <w:ind w:left="20" w:right="20"/>
        <w:jc w:val="both"/>
        <w:rPr>
          <w:rFonts w:ascii="Times New Roman" w:hAnsi="Times New Roman" w:cs="Times New Roman"/>
          <w:sz w:val="25"/>
          <w:szCs w:val="25"/>
        </w:rPr>
      </w:pPr>
      <w:r w:rsidRPr="00465D65">
        <w:rPr>
          <w:rFonts w:ascii="Times New Roman" w:hAnsi="Times New Roman" w:cs="Times New Roman"/>
          <w:sz w:val="25"/>
          <w:szCs w:val="25"/>
        </w:rPr>
        <w:t xml:space="preserve"> Civil Suit No. 230 of 2006 was filed before the Court of the Civil Judge, Hathras, U</w:t>
      </w:r>
      <w:r w:rsidRPr="00465D65">
        <w:rPr>
          <w:rFonts w:ascii="Times New Roman" w:hAnsi="Times New Roman" w:cs="Times New Roman"/>
          <w:sz w:val="25"/>
          <w:szCs w:val="25"/>
        </w:rPr>
        <w:t>.P. seeking the following reliefs:</w:t>
      </w:r>
    </w:p>
    <w:p w:rsidR="002350FD" w:rsidRPr="00465D65" w:rsidRDefault="00F5533D">
      <w:pPr>
        <w:pStyle w:val="Bodytext0"/>
        <w:shd w:val="clear" w:color="auto" w:fill="auto"/>
        <w:spacing w:before="0" w:after="300" w:line="322" w:lineRule="exact"/>
        <w:ind w:left="740" w:right="20"/>
        <w:jc w:val="both"/>
        <w:rPr>
          <w:rFonts w:ascii="Times New Roman" w:hAnsi="Times New Roman" w:cs="Times New Roman"/>
          <w:sz w:val="25"/>
          <w:szCs w:val="25"/>
        </w:rPr>
      </w:pPr>
      <w:r w:rsidRPr="00465D65">
        <w:rPr>
          <w:rFonts w:ascii="Times New Roman" w:hAnsi="Times New Roman" w:cs="Times New Roman"/>
          <w:sz w:val="25"/>
          <w:szCs w:val="25"/>
        </w:rPr>
        <w:t xml:space="preserve">“(A) Decree may be passed in favour of the plaintiffs and against the defendants, declare null and void and invalid of the forged will dated 21.3.2003 and sale deed dated 12.1.2005 and cancel and its information sent to </w:t>
      </w:r>
      <w:r w:rsidRPr="00465D65">
        <w:rPr>
          <w:rFonts w:ascii="Times New Roman" w:hAnsi="Times New Roman" w:cs="Times New Roman"/>
          <w:sz w:val="25"/>
          <w:szCs w:val="25"/>
        </w:rPr>
        <w:t>the office of Registrar Hathras.</w:t>
      </w:r>
    </w:p>
    <w:p w:rsidR="002350FD" w:rsidRPr="00465D65" w:rsidRDefault="00F5533D">
      <w:pPr>
        <w:pStyle w:val="Bodytext0"/>
        <w:numPr>
          <w:ilvl w:val="0"/>
          <w:numId w:val="2"/>
        </w:numPr>
        <w:shd w:val="clear" w:color="auto" w:fill="auto"/>
        <w:tabs>
          <w:tab w:val="left" w:pos="1281"/>
        </w:tabs>
        <w:spacing w:before="0" w:line="322" w:lineRule="exact"/>
        <w:ind w:left="740" w:right="20"/>
        <w:jc w:val="both"/>
        <w:rPr>
          <w:rFonts w:ascii="Times New Roman" w:hAnsi="Times New Roman" w:cs="Times New Roman"/>
          <w:sz w:val="25"/>
          <w:szCs w:val="25"/>
        </w:rPr>
      </w:pPr>
      <w:r w:rsidRPr="00465D65">
        <w:rPr>
          <w:rFonts w:ascii="Times New Roman" w:hAnsi="Times New Roman" w:cs="Times New Roman"/>
          <w:sz w:val="25"/>
          <w:szCs w:val="25"/>
        </w:rPr>
        <w:t>That the cost of the Suit may be decreed in favour of the plaintiff and against the defendants.</w:t>
      </w:r>
    </w:p>
    <w:p w:rsidR="002350FD" w:rsidRPr="00465D65" w:rsidRDefault="00F5533D">
      <w:pPr>
        <w:pStyle w:val="Bodytext0"/>
        <w:numPr>
          <w:ilvl w:val="0"/>
          <w:numId w:val="2"/>
        </w:numPr>
        <w:shd w:val="clear" w:color="auto" w:fill="auto"/>
        <w:tabs>
          <w:tab w:val="left" w:pos="1260"/>
        </w:tabs>
        <w:spacing w:before="0" w:after="300" w:line="322" w:lineRule="exact"/>
        <w:ind w:left="760" w:right="40"/>
        <w:jc w:val="both"/>
        <w:rPr>
          <w:rFonts w:ascii="Times New Roman" w:hAnsi="Times New Roman" w:cs="Times New Roman"/>
          <w:sz w:val="25"/>
          <w:szCs w:val="25"/>
        </w:rPr>
      </w:pPr>
      <w:r w:rsidRPr="00465D65">
        <w:rPr>
          <w:rFonts w:ascii="Times New Roman" w:hAnsi="Times New Roman" w:cs="Times New Roman"/>
          <w:sz w:val="25"/>
          <w:szCs w:val="25"/>
        </w:rPr>
        <w:t>That any other cost which may deem fit by the Hon’ble Court in favour of the plaintiff and against the defendants in the intere</w:t>
      </w:r>
      <w:r w:rsidRPr="00465D65">
        <w:rPr>
          <w:rFonts w:ascii="Times New Roman" w:hAnsi="Times New Roman" w:cs="Times New Roman"/>
          <w:sz w:val="25"/>
          <w:szCs w:val="25"/>
        </w:rPr>
        <w:t>st of Justice.”</w:t>
      </w:r>
    </w:p>
    <w:p w:rsidR="002350FD" w:rsidRPr="00465D65" w:rsidRDefault="00F5533D">
      <w:pPr>
        <w:pStyle w:val="Bodytext0"/>
        <w:numPr>
          <w:ilvl w:val="0"/>
          <w:numId w:val="1"/>
        </w:numPr>
        <w:shd w:val="clear" w:color="auto" w:fill="auto"/>
        <w:spacing w:before="0" w:after="300" w:line="322" w:lineRule="exact"/>
        <w:ind w:left="40" w:right="40"/>
        <w:jc w:val="both"/>
        <w:rPr>
          <w:rFonts w:ascii="Times New Roman" w:hAnsi="Times New Roman" w:cs="Times New Roman"/>
          <w:sz w:val="25"/>
          <w:szCs w:val="25"/>
        </w:rPr>
      </w:pPr>
      <w:r w:rsidRPr="00465D65">
        <w:rPr>
          <w:rFonts w:ascii="Times New Roman" w:hAnsi="Times New Roman" w:cs="Times New Roman"/>
          <w:sz w:val="25"/>
          <w:szCs w:val="25"/>
        </w:rPr>
        <w:t xml:space="preserve"> The suit property was valued and the cost of the property was fixed at Rs.30,00,000/- and the Court fee of Rs.200/- was paid under Article 17(iii) of Schedule II of the Court Fee Act. The question arose before the trial Court whether the p</w:t>
      </w:r>
      <w:r w:rsidRPr="00465D65">
        <w:rPr>
          <w:rFonts w:ascii="Times New Roman" w:hAnsi="Times New Roman" w:cs="Times New Roman"/>
          <w:sz w:val="25"/>
          <w:szCs w:val="25"/>
        </w:rPr>
        <w:t xml:space="preserve">laintiff had properly valued the </w:t>
      </w:r>
      <w:r w:rsidRPr="00465D65">
        <w:rPr>
          <w:rFonts w:ascii="Times New Roman" w:hAnsi="Times New Roman" w:cs="Times New Roman"/>
          <w:sz w:val="25"/>
          <w:szCs w:val="25"/>
        </w:rPr>
        <w:lastRenderedPageBreak/>
        <w:t>suit and the court fee paid. The trial Court took the view that the plaintiff should have paid the court fee as per Section 7(iv- A) of the U.P. Amendment Act. The matter was taken up before the High Court. The High Court c</w:t>
      </w:r>
      <w:r w:rsidRPr="00465D65">
        <w:rPr>
          <w:rFonts w:ascii="Times New Roman" w:hAnsi="Times New Roman" w:cs="Times New Roman"/>
          <w:sz w:val="25"/>
          <w:szCs w:val="25"/>
        </w:rPr>
        <w:t>oncurred with the views taken by the trial Court and dismissed the appeal on 15.12.2011, against which this appeal has been preferred.</w:t>
      </w:r>
    </w:p>
    <w:p w:rsidR="002350FD" w:rsidRPr="00465D65" w:rsidRDefault="00F5533D">
      <w:pPr>
        <w:pStyle w:val="Bodytext0"/>
        <w:numPr>
          <w:ilvl w:val="0"/>
          <w:numId w:val="1"/>
        </w:numPr>
        <w:shd w:val="clear" w:color="auto" w:fill="auto"/>
        <w:spacing w:before="0" w:after="300" w:line="322" w:lineRule="exact"/>
        <w:ind w:left="40" w:right="40"/>
        <w:jc w:val="both"/>
        <w:rPr>
          <w:rFonts w:ascii="Times New Roman" w:hAnsi="Times New Roman" w:cs="Times New Roman"/>
          <w:sz w:val="25"/>
          <w:szCs w:val="25"/>
        </w:rPr>
      </w:pPr>
      <w:r w:rsidRPr="00465D65">
        <w:rPr>
          <w:rFonts w:ascii="Times New Roman" w:hAnsi="Times New Roman" w:cs="Times New Roman"/>
          <w:sz w:val="25"/>
          <w:szCs w:val="25"/>
        </w:rPr>
        <w:t xml:space="preserve"> Shri Viresh Kumar Yadav, learned counsel appearing on behalf of the appellant, submitted that the Courts below have comm</w:t>
      </w:r>
      <w:r w:rsidRPr="00465D65">
        <w:rPr>
          <w:rFonts w:ascii="Times New Roman" w:hAnsi="Times New Roman" w:cs="Times New Roman"/>
          <w:sz w:val="25"/>
          <w:szCs w:val="25"/>
        </w:rPr>
        <w:t>itted an error in holding that the suit be valued and an ad valorem court fee be paid under Section 7(iv-A) of the U.P. Amendment Act. Learned counsel submitted that the plaintiff had correctly valued the suit and proper court fee was paid in accordance wi</w:t>
      </w:r>
      <w:r w:rsidRPr="00465D65">
        <w:rPr>
          <w:rFonts w:ascii="Times New Roman" w:hAnsi="Times New Roman" w:cs="Times New Roman"/>
          <w:sz w:val="25"/>
          <w:szCs w:val="25"/>
        </w:rPr>
        <w:t>th Article 17(iii) of Schedule II of the Court Fees Act. Considerable reliance was also placed on the judgment of this Court in Suhrid Singh v. Randhir Singh and Others [(2010) 12 SCC 12] and contended that the Court fee need be paid only on the plaint ave</w:t>
      </w:r>
      <w:r w:rsidRPr="00465D65">
        <w:rPr>
          <w:rFonts w:ascii="Times New Roman" w:hAnsi="Times New Roman" w:cs="Times New Roman"/>
          <w:sz w:val="25"/>
          <w:szCs w:val="25"/>
        </w:rPr>
        <w:t>rments.</w:t>
      </w:r>
    </w:p>
    <w:p w:rsidR="002350FD" w:rsidRPr="00465D65" w:rsidRDefault="00F5533D">
      <w:pPr>
        <w:pStyle w:val="Bodytext0"/>
        <w:numPr>
          <w:ilvl w:val="0"/>
          <w:numId w:val="1"/>
        </w:numPr>
        <w:shd w:val="clear" w:color="auto" w:fill="auto"/>
        <w:spacing w:before="0" w:after="300" w:line="322" w:lineRule="exact"/>
        <w:ind w:left="40" w:right="40"/>
        <w:jc w:val="both"/>
        <w:rPr>
          <w:rFonts w:ascii="Times New Roman" w:hAnsi="Times New Roman" w:cs="Times New Roman"/>
          <w:sz w:val="25"/>
          <w:szCs w:val="25"/>
        </w:rPr>
      </w:pPr>
      <w:r w:rsidRPr="00465D65">
        <w:rPr>
          <w:rFonts w:ascii="Times New Roman" w:hAnsi="Times New Roman" w:cs="Times New Roman"/>
          <w:sz w:val="25"/>
          <w:szCs w:val="25"/>
        </w:rPr>
        <w:t xml:space="preserve"> Shri M. R. Shamshad, learned counsel appearing for the respondent, on the other hand, contended that the High Court has come to the correct conclusion that even though no consequential reliefs was prayed for, still as per the U.P. Amendment Act, p</w:t>
      </w:r>
      <w:r w:rsidRPr="00465D65">
        <w:rPr>
          <w:rFonts w:ascii="Times New Roman" w:hAnsi="Times New Roman" w:cs="Times New Roman"/>
          <w:sz w:val="25"/>
          <w:szCs w:val="25"/>
        </w:rPr>
        <w:t xml:space="preserve">laintiff will have to pay the court fee under Section 7(iv-A) of the U.P. Amendment Act. Learned counsel submitted that the plaintiff had valued the suit without noticing the fact that the State of U.P. had amended the Court Fee Act by Act XIX of 1938 and </w:t>
      </w:r>
      <w:r w:rsidRPr="00465D65">
        <w:rPr>
          <w:rFonts w:ascii="Times New Roman" w:hAnsi="Times New Roman" w:cs="Times New Roman"/>
          <w:sz w:val="25"/>
          <w:szCs w:val="25"/>
        </w:rPr>
        <w:t xml:space="preserve">in terms of Section 7(iv-A) of the U.P. Amendment Act, the court fee has to be commuted according to the value of the subject matter and an ad valorem court fee has to be paid. Learned counsel also submitted that the judgment of this Court in Suhrid Singh </w:t>
      </w:r>
      <w:r w:rsidRPr="00465D65">
        <w:rPr>
          <w:rFonts w:ascii="Times New Roman" w:hAnsi="Times New Roman" w:cs="Times New Roman"/>
          <w:sz w:val="25"/>
          <w:szCs w:val="25"/>
        </w:rPr>
        <w:t>(supra) is not applicable to the facts of the present case and this Court had no occasion to consider the scope of the U.P. State amendment in that judgment.</w:t>
      </w:r>
    </w:p>
    <w:p w:rsidR="002350FD" w:rsidRPr="00465D65" w:rsidRDefault="00F5533D">
      <w:pPr>
        <w:pStyle w:val="Bodytext0"/>
        <w:numPr>
          <w:ilvl w:val="0"/>
          <w:numId w:val="1"/>
        </w:numPr>
        <w:shd w:val="clear" w:color="auto" w:fill="auto"/>
        <w:spacing w:before="0" w:after="296" w:line="322" w:lineRule="exact"/>
        <w:ind w:left="40" w:right="40"/>
        <w:jc w:val="both"/>
        <w:rPr>
          <w:rFonts w:ascii="Times New Roman" w:hAnsi="Times New Roman" w:cs="Times New Roman"/>
          <w:sz w:val="25"/>
          <w:szCs w:val="25"/>
        </w:rPr>
      </w:pPr>
      <w:r w:rsidRPr="00465D65">
        <w:rPr>
          <w:rFonts w:ascii="Times New Roman" w:hAnsi="Times New Roman" w:cs="Times New Roman"/>
          <w:sz w:val="25"/>
          <w:szCs w:val="25"/>
        </w:rPr>
        <w:t xml:space="preserve"> We may, for proper appreciation of the various contentions raised by the parties, refer to the pr</w:t>
      </w:r>
      <w:r w:rsidRPr="00465D65">
        <w:rPr>
          <w:rFonts w:ascii="Times New Roman" w:hAnsi="Times New Roman" w:cs="Times New Roman"/>
          <w:sz w:val="25"/>
          <w:szCs w:val="25"/>
        </w:rPr>
        <w:t>ovisions of the Court Fees Act as well as Court Fees Act as amended by the U.P. Amendment Act, which will give a correct picture of the changes made by the U.P. Amendment Act on the Court Fees Act. An operative chart of the Court Fees Act and the U.P. Amen</w:t>
      </w:r>
      <w:r w:rsidRPr="00465D65">
        <w:rPr>
          <w:rFonts w:ascii="Times New Roman" w:hAnsi="Times New Roman" w:cs="Times New Roman"/>
          <w:sz w:val="25"/>
          <w:szCs w:val="25"/>
        </w:rPr>
        <w:t>dment Act is given below:</w:t>
      </w:r>
    </w:p>
    <w:p w:rsidR="002350FD" w:rsidRPr="00465D65" w:rsidRDefault="00F5533D">
      <w:pPr>
        <w:pStyle w:val="Bodytext0"/>
        <w:shd w:val="clear" w:color="auto" w:fill="auto"/>
        <w:spacing w:before="0" w:after="304" w:line="326" w:lineRule="exact"/>
        <w:ind w:left="740" w:right="20"/>
        <w:jc w:val="both"/>
        <w:rPr>
          <w:rFonts w:ascii="Times New Roman" w:hAnsi="Times New Roman" w:cs="Times New Roman"/>
          <w:sz w:val="25"/>
          <w:szCs w:val="25"/>
        </w:rPr>
      </w:pPr>
      <w:r w:rsidRPr="00465D65">
        <w:rPr>
          <w:rFonts w:ascii="Times New Roman" w:hAnsi="Times New Roman" w:cs="Times New Roman"/>
          <w:sz w:val="25"/>
          <w:szCs w:val="25"/>
        </w:rPr>
        <w:t>|Court Fees Act |As per UP Amendment Act (19 | | |of 1938) | |“7. Computation of fees |</w:t>
      </w:r>
    </w:p>
    <w:p w:rsidR="002350FD" w:rsidRPr="00465D65" w:rsidRDefault="00F5533D">
      <w:pPr>
        <w:pStyle w:val="Bodytext0"/>
        <w:shd w:val="clear" w:color="auto" w:fill="auto"/>
        <w:spacing w:before="0" w:line="322" w:lineRule="exact"/>
        <w:ind w:left="740" w:right="20"/>
        <w:jc w:val="both"/>
        <w:rPr>
          <w:rFonts w:ascii="Times New Roman" w:hAnsi="Times New Roman" w:cs="Times New Roman"/>
          <w:sz w:val="25"/>
          <w:szCs w:val="25"/>
        </w:rPr>
      </w:pPr>
      <w:r w:rsidRPr="00465D65">
        <w:rPr>
          <w:rFonts w:ascii="Times New Roman" w:hAnsi="Times New Roman" w:cs="Times New Roman"/>
          <w:sz w:val="25"/>
          <w:szCs w:val="25"/>
        </w:rPr>
        <w:t xml:space="preserve">“7. Computation of fees | |payable in certain suits: |payable in certain suits for | |The amount of fee payable |money: | |under this Act in </w:t>
      </w:r>
      <w:r w:rsidRPr="00465D65">
        <w:rPr>
          <w:rFonts w:ascii="Times New Roman" w:hAnsi="Times New Roman" w:cs="Times New Roman"/>
          <w:sz w:val="25"/>
          <w:szCs w:val="25"/>
        </w:rPr>
        <w:t>the suits |The amount of fee payable | |next hereinafter mentioned |under this Act in the suits | |shall be computed as follows: |next hereinafter mentioned |</w:t>
      </w:r>
    </w:p>
    <w:p w:rsidR="002350FD" w:rsidRPr="00465D65" w:rsidRDefault="00F5533D">
      <w:pPr>
        <w:pStyle w:val="Bodytext0"/>
        <w:shd w:val="clear" w:color="auto" w:fill="auto"/>
        <w:tabs>
          <w:tab w:val="left" w:leader="dot" w:pos="2115"/>
          <w:tab w:val="left" w:leader="dot" w:pos="7395"/>
          <w:tab w:val="right" w:leader="dot" w:pos="9056"/>
          <w:tab w:val="right" w:pos="9355"/>
        </w:tabs>
        <w:spacing w:before="0" w:line="322" w:lineRule="exact"/>
        <w:ind w:left="740"/>
        <w:jc w:val="both"/>
        <w:rPr>
          <w:rFonts w:ascii="Times New Roman" w:hAnsi="Times New Roman" w:cs="Times New Roman"/>
          <w:sz w:val="25"/>
          <w:szCs w:val="25"/>
        </w:rPr>
      </w:pPr>
      <w:r w:rsidRPr="00465D65">
        <w:rPr>
          <w:rFonts w:ascii="Times New Roman" w:hAnsi="Times New Roman" w:cs="Times New Roman"/>
          <w:sz w:val="25"/>
          <w:szCs w:val="25"/>
        </w:rPr>
        <w:t>|</w:t>
      </w:r>
      <w:r w:rsidRPr="00465D65">
        <w:rPr>
          <w:rFonts w:ascii="Times New Roman" w:hAnsi="Times New Roman" w:cs="Times New Roman"/>
          <w:sz w:val="25"/>
          <w:szCs w:val="25"/>
        </w:rPr>
        <w:tab/>
        <w:t xml:space="preserve"> |shall be computed as follows) |</w:t>
      </w:r>
      <w:r w:rsidRPr="00465D65">
        <w:rPr>
          <w:rFonts w:ascii="Times New Roman" w:hAnsi="Times New Roman" w:cs="Times New Roman"/>
          <w:sz w:val="25"/>
          <w:szCs w:val="25"/>
        </w:rPr>
        <w:tab/>
        <w:t xml:space="preserve"> |</w:t>
      </w:r>
      <w:r w:rsidRPr="00465D65">
        <w:rPr>
          <w:rFonts w:ascii="Times New Roman" w:hAnsi="Times New Roman" w:cs="Times New Roman"/>
          <w:sz w:val="25"/>
          <w:szCs w:val="25"/>
        </w:rPr>
        <w:tab/>
        <w:t xml:space="preserve"> |</w:t>
      </w:r>
      <w:r w:rsidRPr="00465D65">
        <w:rPr>
          <w:rFonts w:ascii="Times New Roman" w:hAnsi="Times New Roman" w:cs="Times New Roman"/>
          <w:sz w:val="25"/>
          <w:szCs w:val="25"/>
        </w:rPr>
        <w:tab/>
        <w:t>|</w:t>
      </w:r>
    </w:p>
    <w:p w:rsidR="002350FD" w:rsidRPr="00465D65" w:rsidRDefault="00F5533D">
      <w:pPr>
        <w:pStyle w:val="Bodytext0"/>
        <w:shd w:val="clear" w:color="auto" w:fill="auto"/>
        <w:tabs>
          <w:tab w:val="left" w:leader="dot" w:pos="2115"/>
          <w:tab w:val="left" w:leader="dot" w:pos="5890"/>
        </w:tabs>
        <w:spacing w:before="0" w:line="322" w:lineRule="exact"/>
        <w:ind w:left="740"/>
        <w:jc w:val="both"/>
        <w:rPr>
          <w:rFonts w:ascii="Times New Roman" w:hAnsi="Times New Roman" w:cs="Times New Roman"/>
          <w:sz w:val="25"/>
          <w:szCs w:val="25"/>
        </w:rPr>
      </w:pPr>
      <w:r w:rsidRPr="00465D65">
        <w:rPr>
          <w:rFonts w:ascii="Times New Roman" w:hAnsi="Times New Roman" w:cs="Times New Roman"/>
          <w:sz w:val="25"/>
          <w:szCs w:val="25"/>
        </w:rPr>
        <w:lastRenderedPageBreak/>
        <w:t>|</w:t>
      </w:r>
      <w:r w:rsidRPr="00465D65">
        <w:rPr>
          <w:rFonts w:ascii="Times New Roman" w:hAnsi="Times New Roman" w:cs="Times New Roman"/>
          <w:sz w:val="25"/>
          <w:szCs w:val="25"/>
        </w:rPr>
        <w:tab/>
        <w:t xml:space="preserve"> | |(iv) In Suits - | | |</w:t>
      </w:r>
      <w:r w:rsidRPr="00465D65">
        <w:rPr>
          <w:rFonts w:ascii="Times New Roman" w:hAnsi="Times New Roman" w:cs="Times New Roman"/>
          <w:sz w:val="25"/>
          <w:szCs w:val="25"/>
        </w:rPr>
        <w:tab/>
        <w:t xml:space="preserve"> |For declaratory decree </w:t>
      </w:r>
      <w:r w:rsidRPr="00465D65">
        <w:rPr>
          <w:rFonts w:ascii="Times New Roman" w:hAnsi="Times New Roman" w:cs="Times New Roman"/>
          <w:sz w:val="25"/>
          <w:szCs w:val="25"/>
        </w:rPr>
        <w:t>with |</w:t>
      </w:r>
    </w:p>
    <w:p w:rsidR="002350FD" w:rsidRPr="00465D65" w:rsidRDefault="00F5533D">
      <w:pPr>
        <w:pStyle w:val="Bodytext0"/>
        <w:shd w:val="clear" w:color="auto" w:fill="auto"/>
        <w:tabs>
          <w:tab w:val="left" w:leader="dot" w:pos="2115"/>
        </w:tabs>
        <w:spacing w:before="0" w:line="322" w:lineRule="exact"/>
        <w:ind w:left="740"/>
        <w:jc w:val="both"/>
        <w:rPr>
          <w:rFonts w:ascii="Times New Roman" w:hAnsi="Times New Roman" w:cs="Times New Roman"/>
          <w:sz w:val="25"/>
          <w:szCs w:val="25"/>
        </w:rPr>
      </w:pPr>
      <w:r w:rsidRPr="00465D65">
        <w:rPr>
          <w:rFonts w:ascii="Times New Roman" w:hAnsi="Times New Roman" w:cs="Times New Roman"/>
          <w:sz w:val="25"/>
          <w:szCs w:val="25"/>
        </w:rPr>
        <w:t>|</w:t>
      </w:r>
      <w:r w:rsidRPr="00465D65">
        <w:rPr>
          <w:rFonts w:ascii="Times New Roman" w:hAnsi="Times New Roman" w:cs="Times New Roman"/>
          <w:sz w:val="25"/>
          <w:szCs w:val="25"/>
        </w:rPr>
        <w:tab/>
        <w:t xml:space="preserve"> |consequential relief - (iv) | |For declaratory decree and |in</w:t>
      </w:r>
    </w:p>
    <w:p w:rsidR="002350FD" w:rsidRPr="00465D65" w:rsidRDefault="00F5533D">
      <w:pPr>
        <w:pStyle w:val="Bodytext0"/>
        <w:shd w:val="clear" w:color="auto" w:fill="auto"/>
        <w:tabs>
          <w:tab w:val="left" w:leader="dot" w:pos="7395"/>
          <w:tab w:val="right" w:pos="9281"/>
          <w:tab w:val="right" w:pos="9361"/>
        </w:tabs>
        <w:spacing w:before="0" w:line="322" w:lineRule="exact"/>
        <w:ind w:left="740"/>
        <w:jc w:val="both"/>
        <w:rPr>
          <w:rFonts w:ascii="Times New Roman" w:hAnsi="Times New Roman" w:cs="Times New Roman"/>
          <w:sz w:val="25"/>
          <w:szCs w:val="25"/>
        </w:rPr>
      </w:pPr>
      <w:r w:rsidRPr="00465D65">
        <w:rPr>
          <w:rFonts w:ascii="Times New Roman" w:hAnsi="Times New Roman" w:cs="Times New Roman"/>
          <w:sz w:val="25"/>
          <w:szCs w:val="25"/>
        </w:rPr>
        <w:t>Suits- | |consequent relief- |to obtain a declaratory | |</w:t>
      </w:r>
      <w:r w:rsidRPr="00465D65">
        <w:rPr>
          <w:rFonts w:ascii="Times New Roman" w:hAnsi="Times New Roman" w:cs="Times New Roman"/>
          <w:sz w:val="25"/>
          <w:szCs w:val="25"/>
        </w:rPr>
        <w:tab/>
        <w:t>(a)</w:t>
      </w:r>
      <w:r w:rsidRPr="00465D65">
        <w:rPr>
          <w:rFonts w:ascii="Times New Roman" w:hAnsi="Times New Roman" w:cs="Times New Roman"/>
          <w:sz w:val="25"/>
          <w:szCs w:val="25"/>
        </w:rPr>
        <w:tab/>
        <w:t xml:space="preserve"> |decree</w:t>
      </w:r>
      <w:r w:rsidRPr="00465D65">
        <w:rPr>
          <w:rFonts w:ascii="Times New Roman" w:hAnsi="Times New Roman" w:cs="Times New Roman"/>
          <w:sz w:val="25"/>
          <w:szCs w:val="25"/>
        </w:rPr>
        <w:tab/>
        <w:t>or</w:t>
      </w:r>
    </w:p>
    <w:p w:rsidR="002350FD" w:rsidRPr="00465D65" w:rsidRDefault="00F5533D">
      <w:pPr>
        <w:pStyle w:val="Bodytext0"/>
        <w:shd w:val="clear" w:color="auto" w:fill="auto"/>
        <w:tabs>
          <w:tab w:val="center" w:leader="dot" w:pos="3332"/>
          <w:tab w:val="left" w:leader="dot" w:pos="3932"/>
        </w:tabs>
        <w:spacing w:before="0" w:line="322" w:lineRule="exact"/>
        <w:ind w:left="740"/>
        <w:jc w:val="both"/>
        <w:rPr>
          <w:rFonts w:ascii="Times New Roman" w:hAnsi="Times New Roman" w:cs="Times New Roman"/>
          <w:sz w:val="25"/>
          <w:szCs w:val="25"/>
        </w:rPr>
      </w:pPr>
      <w:r w:rsidRPr="00465D65">
        <w:rPr>
          <w:rFonts w:ascii="Times New Roman" w:hAnsi="Times New Roman" w:cs="Times New Roman"/>
          <w:sz w:val="25"/>
          <w:szCs w:val="25"/>
        </w:rPr>
        <w:t>order, where | |</w:t>
      </w:r>
      <w:r w:rsidRPr="00465D65">
        <w:rPr>
          <w:rFonts w:ascii="Times New Roman" w:hAnsi="Times New Roman" w:cs="Times New Roman"/>
          <w:sz w:val="25"/>
          <w:szCs w:val="25"/>
        </w:rPr>
        <w:tab/>
        <w:t>(b)</w:t>
      </w:r>
      <w:r w:rsidRPr="00465D65">
        <w:rPr>
          <w:rFonts w:ascii="Times New Roman" w:hAnsi="Times New Roman" w:cs="Times New Roman"/>
          <w:sz w:val="25"/>
          <w:szCs w:val="25"/>
        </w:rPr>
        <w:tab/>
        <w:t xml:space="preserve"> |consequential relief other | |For a declaratory</w:t>
      </w:r>
    </w:p>
    <w:p w:rsidR="002350FD" w:rsidRPr="00465D65" w:rsidRDefault="00F5533D">
      <w:pPr>
        <w:pStyle w:val="Bodytext0"/>
        <w:shd w:val="clear" w:color="auto" w:fill="auto"/>
        <w:spacing w:before="0" w:line="322" w:lineRule="exact"/>
        <w:ind w:left="740" w:right="20"/>
        <w:jc w:val="both"/>
        <w:rPr>
          <w:rFonts w:ascii="Times New Roman" w:hAnsi="Times New Roman" w:cs="Times New Roman"/>
          <w:sz w:val="25"/>
          <w:szCs w:val="25"/>
        </w:rPr>
      </w:pPr>
      <w:r w:rsidRPr="00465D65">
        <w:rPr>
          <w:rFonts w:ascii="Times New Roman" w:hAnsi="Times New Roman" w:cs="Times New Roman"/>
          <w:sz w:val="25"/>
          <w:szCs w:val="25"/>
        </w:rPr>
        <w:t>decree and |than relief specified in |</w:t>
      </w:r>
      <w:r w:rsidRPr="00465D65">
        <w:rPr>
          <w:rFonts w:ascii="Times New Roman" w:hAnsi="Times New Roman" w:cs="Times New Roman"/>
          <w:sz w:val="25"/>
          <w:szCs w:val="25"/>
        </w:rPr>
        <w:t xml:space="preserve"> |consequential relief (c) to |sub-section (iv-A) is prayed;| |obtain a declaratory decree or| | |order, where consequential |For cancellation or adjudging| |relief is prayed, |void</w:t>
      </w:r>
    </w:p>
    <w:p w:rsidR="002350FD" w:rsidRPr="00465D65" w:rsidRDefault="00F5533D">
      <w:pPr>
        <w:pStyle w:val="Bodytext0"/>
        <w:shd w:val="clear" w:color="auto" w:fill="auto"/>
        <w:tabs>
          <w:tab w:val="center" w:leader="dot" w:pos="5276"/>
          <w:tab w:val="right" w:pos="6128"/>
          <w:tab w:val="center" w:pos="6418"/>
          <w:tab w:val="right" w:pos="7042"/>
          <w:tab w:val="right" w:pos="7494"/>
          <w:tab w:val="left" w:pos="7690"/>
          <w:tab w:val="left" w:leader="dot" w:pos="9342"/>
        </w:tabs>
        <w:spacing w:before="0" w:line="322" w:lineRule="exact"/>
        <w:ind w:left="740"/>
        <w:jc w:val="both"/>
        <w:rPr>
          <w:rFonts w:ascii="Times New Roman" w:hAnsi="Times New Roman" w:cs="Times New Roman"/>
          <w:sz w:val="25"/>
          <w:szCs w:val="25"/>
        </w:rPr>
      </w:pPr>
      <w:r w:rsidRPr="00465D65">
        <w:rPr>
          <w:rFonts w:ascii="Times New Roman" w:hAnsi="Times New Roman" w:cs="Times New Roman"/>
          <w:sz w:val="25"/>
          <w:szCs w:val="25"/>
        </w:rPr>
        <w:t>instruments and decrees | |</w:t>
      </w:r>
      <w:r w:rsidRPr="00465D65">
        <w:rPr>
          <w:rFonts w:ascii="Times New Roman" w:hAnsi="Times New Roman" w:cs="Times New Roman"/>
          <w:sz w:val="25"/>
          <w:szCs w:val="25"/>
        </w:rPr>
        <w:tab/>
        <w:t xml:space="preserve"> |-</w:t>
      </w:r>
      <w:r w:rsidRPr="00465D65">
        <w:rPr>
          <w:rFonts w:ascii="Times New Roman" w:hAnsi="Times New Roman" w:cs="Times New Roman"/>
          <w:sz w:val="25"/>
          <w:szCs w:val="25"/>
        </w:rPr>
        <w:tab/>
        <w:t>(iv-A)</w:t>
      </w:r>
      <w:r w:rsidRPr="00465D65">
        <w:rPr>
          <w:rFonts w:ascii="Times New Roman" w:hAnsi="Times New Roman" w:cs="Times New Roman"/>
          <w:sz w:val="25"/>
          <w:szCs w:val="25"/>
        </w:rPr>
        <w:tab/>
        <w:t>in</w:t>
      </w:r>
      <w:r w:rsidRPr="00465D65">
        <w:rPr>
          <w:rFonts w:ascii="Times New Roman" w:hAnsi="Times New Roman" w:cs="Times New Roman"/>
          <w:sz w:val="25"/>
          <w:szCs w:val="25"/>
        </w:rPr>
        <w:tab/>
        <w:t>suit</w:t>
      </w:r>
      <w:r w:rsidRPr="00465D65">
        <w:rPr>
          <w:rFonts w:ascii="Times New Roman" w:hAnsi="Times New Roman" w:cs="Times New Roman"/>
          <w:sz w:val="25"/>
          <w:szCs w:val="25"/>
        </w:rPr>
        <w:tab/>
        <w:t>for</w:t>
      </w:r>
      <w:r w:rsidRPr="00465D65">
        <w:rPr>
          <w:rFonts w:ascii="Times New Roman" w:hAnsi="Times New Roman" w:cs="Times New Roman"/>
          <w:sz w:val="25"/>
          <w:szCs w:val="25"/>
        </w:rPr>
        <w:tab/>
        <w:t>or | |</w:t>
      </w:r>
      <w:r w:rsidRPr="00465D65">
        <w:rPr>
          <w:rFonts w:ascii="Times New Roman" w:hAnsi="Times New Roman" w:cs="Times New Roman"/>
          <w:sz w:val="25"/>
          <w:szCs w:val="25"/>
        </w:rPr>
        <w:tab/>
      </w:r>
    </w:p>
    <w:p w:rsidR="002350FD" w:rsidRPr="00465D65" w:rsidRDefault="00F5533D">
      <w:pPr>
        <w:pStyle w:val="Bodytext0"/>
        <w:shd w:val="clear" w:color="auto" w:fill="auto"/>
        <w:spacing w:before="0" w:line="322" w:lineRule="exact"/>
        <w:ind w:left="740" w:right="20"/>
        <w:jc w:val="both"/>
        <w:rPr>
          <w:rFonts w:ascii="Times New Roman" w:hAnsi="Times New Roman" w:cs="Times New Roman"/>
          <w:sz w:val="25"/>
          <w:szCs w:val="25"/>
        </w:rPr>
      </w:pPr>
      <w:r w:rsidRPr="00465D65">
        <w:rPr>
          <w:rFonts w:ascii="Times New Roman" w:hAnsi="Times New Roman" w:cs="Times New Roman"/>
          <w:sz w:val="25"/>
          <w:szCs w:val="25"/>
        </w:rPr>
        <w:t>|involving canc</w:t>
      </w:r>
      <w:r w:rsidRPr="00465D65">
        <w:rPr>
          <w:rFonts w:ascii="Times New Roman" w:hAnsi="Times New Roman" w:cs="Times New Roman"/>
          <w:sz w:val="25"/>
          <w:szCs w:val="25"/>
        </w:rPr>
        <w:t>ellation of or | |According to the amount at |adjudging void or voidable a | |which the relief sought is |decree for money or other | |valued in the plaint or |property having a market | |memorandum of appeal. |value, or an instrument | | |securing money o</w:t>
      </w:r>
      <w:r w:rsidRPr="00465D65">
        <w:rPr>
          <w:rFonts w:ascii="Times New Roman" w:hAnsi="Times New Roman" w:cs="Times New Roman"/>
          <w:sz w:val="25"/>
          <w:szCs w:val="25"/>
        </w:rPr>
        <w:t>r other | | |property having such value: | | | |</w:t>
      </w:r>
    </w:p>
    <w:p w:rsidR="002350FD" w:rsidRPr="00465D65" w:rsidRDefault="00F5533D">
      <w:pPr>
        <w:pStyle w:val="Bodytext0"/>
        <w:shd w:val="clear" w:color="auto" w:fill="auto"/>
        <w:tabs>
          <w:tab w:val="left" w:pos="3998"/>
          <w:tab w:val="left" w:pos="5496"/>
          <w:tab w:val="right" w:pos="6128"/>
          <w:tab w:val="left" w:pos="9374"/>
          <w:tab w:val="left" w:pos="9260"/>
        </w:tabs>
        <w:spacing w:before="0" w:line="322" w:lineRule="exact"/>
        <w:ind w:left="740" w:right="20"/>
        <w:jc w:val="both"/>
        <w:rPr>
          <w:rFonts w:ascii="Times New Roman" w:hAnsi="Times New Roman" w:cs="Times New Roman"/>
          <w:sz w:val="25"/>
          <w:szCs w:val="25"/>
        </w:rPr>
      </w:pPr>
      <w:r w:rsidRPr="00465D65">
        <w:rPr>
          <w:rFonts w:ascii="Times New Roman" w:hAnsi="Times New Roman" w:cs="Times New Roman"/>
          <w:sz w:val="25"/>
          <w:szCs w:val="25"/>
        </w:rPr>
        <w:t>| |Where the plaintiff or his | | |predecessor-in-title was a | | |party to the decree or the | | |instrument, according to the | | |value of the subject matter, | | |and | | |Where he or his | | |predecesso</w:t>
      </w:r>
      <w:r w:rsidRPr="00465D65">
        <w:rPr>
          <w:rFonts w:ascii="Times New Roman" w:hAnsi="Times New Roman" w:cs="Times New Roman"/>
          <w:sz w:val="25"/>
          <w:szCs w:val="25"/>
        </w:rPr>
        <w:t>r-in-title was not | | |party to the decree or | | |instrument, according to | | |one-fifth of the value of the| | |subject- matter, and such | | |value shall be deemed to be- | | |If the whole decree or | | |instrument is involved in the| | |suit, the amo</w:t>
      </w:r>
      <w:r w:rsidRPr="00465D65">
        <w:rPr>
          <w:rFonts w:ascii="Times New Roman" w:hAnsi="Times New Roman" w:cs="Times New Roman"/>
          <w:sz w:val="25"/>
          <w:szCs w:val="25"/>
        </w:rPr>
        <w:t>unt for which or| | |value of the property in | | |respect of which the decree | | |was passed or the instrument | | |executed, and if only a part | | |of the decree or instrument | | |is involved in the suit, the | | |amount or</w:t>
      </w:r>
      <w:r w:rsidRPr="00465D65">
        <w:rPr>
          <w:rFonts w:ascii="Times New Roman" w:hAnsi="Times New Roman" w:cs="Times New Roman"/>
          <w:sz w:val="25"/>
          <w:szCs w:val="25"/>
        </w:rPr>
        <w:tab/>
        <w:t>value of the</w:t>
      </w:r>
      <w:r w:rsidRPr="00465D65">
        <w:rPr>
          <w:rFonts w:ascii="Times New Roman" w:hAnsi="Times New Roman" w:cs="Times New Roman"/>
          <w:sz w:val="25"/>
          <w:szCs w:val="25"/>
        </w:rPr>
        <w:tab/>
        <w:t>| |</w:t>
      </w:r>
      <w:r w:rsidRPr="00465D65">
        <w:rPr>
          <w:rFonts w:ascii="Times New Roman" w:hAnsi="Times New Roman" w:cs="Times New Roman"/>
          <w:sz w:val="25"/>
          <w:szCs w:val="25"/>
        </w:rPr>
        <w:tab/>
        <w:t xml:space="preserve">|property </w:t>
      </w:r>
      <w:r w:rsidRPr="00465D65">
        <w:rPr>
          <w:rFonts w:ascii="Times New Roman" w:hAnsi="Times New Roman" w:cs="Times New Roman"/>
          <w:sz w:val="25"/>
          <w:szCs w:val="25"/>
        </w:rPr>
        <w:t>to which such part</w:t>
      </w:r>
      <w:r w:rsidRPr="00465D65">
        <w:rPr>
          <w:rFonts w:ascii="Times New Roman" w:hAnsi="Times New Roman" w:cs="Times New Roman"/>
          <w:sz w:val="25"/>
          <w:szCs w:val="25"/>
        </w:rPr>
        <w:tab/>
        <w:t>|</w:t>
      </w:r>
      <w:r w:rsidRPr="00465D65">
        <w:rPr>
          <w:rFonts w:ascii="Times New Roman" w:hAnsi="Times New Roman" w:cs="Times New Roman"/>
          <w:sz w:val="25"/>
          <w:szCs w:val="25"/>
        </w:rPr>
        <w:tab/>
        <w:t>|</w:t>
      </w:r>
    </w:p>
    <w:p w:rsidR="002350FD" w:rsidRPr="00465D65" w:rsidRDefault="002350FD">
      <w:pPr>
        <w:pStyle w:val="Tableofcontents0"/>
        <w:shd w:val="clear" w:color="auto" w:fill="auto"/>
        <w:tabs>
          <w:tab w:val="right" w:pos="9056"/>
          <w:tab w:val="right" w:pos="9058"/>
          <w:tab w:val="left" w:pos="9254"/>
          <w:tab w:val="left" w:pos="9341"/>
        </w:tabs>
        <w:ind w:left="740"/>
        <w:rPr>
          <w:rFonts w:ascii="Times New Roman" w:hAnsi="Times New Roman" w:cs="Times New Roman"/>
          <w:sz w:val="25"/>
          <w:szCs w:val="25"/>
        </w:rPr>
      </w:pPr>
      <w:r w:rsidRPr="00465D65">
        <w:rPr>
          <w:rFonts w:ascii="Times New Roman" w:hAnsi="Times New Roman" w:cs="Times New Roman"/>
          <w:sz w:val="25"/>
          <w:szCs w:val="25"/>
        </w:rPr>
        <w:fldChar w:fldCharType="begin"/>
      </w:r>
      <w:r w:rsidR="00F5533D" w:rsidRPr="00465D65">
        <w:rPr>
          <w:rFonts w:ascii="Times New Roman" w:hAnsi="Times New Roman" w:cs="Times New Roman"/>
          <w:sz w:val="25"/>
          <w:szCs w:val="25"/>
        </w:rPr>
        <w:instrText xml:space="preserve"> TOC \o "1-5" \h \z </w:instrText>
      </w:r>
      <w:r w:rsidRPr="00465D65">
        <w:rPr>
          <w:rFonts w:ascii="Times New Roman" w:hAnsi="Times New Roman" w:cs="Times New Roman"/>
          <w:sz w:val="25"/>
          <w:szCs w:val="25"/>
        </w:rPr>
        <w:fldChar w:fldCharType="separate"/>
      </w:r>
      <w:r w:rsidR="00F5533D" w:rsidRPr="00465D65">
        <w:rPr>
          <w:rFonts w:ascii="Times New Roman" w:hAnsi="Times New Roman" w:cs="Times New Roman"/>
          <w:sz w:val="25"/>
          <w:szCs w:val="25"/>
        </w:rPr>
        <w:t>|relates. | | | | | |Explanation - ‘the value</w:t>
      </w:r>
      <w:r w:rsidR="00F5533D" w:rsidRPr="00465D65">
        <w:rPr>
          <w:rFonts w:ascii="Times New Roman" w:hAnsi="Times New Roman" w:cs="Times New Roman"/>
          <w:sz w:val="25"/>
          <w:szCs w:val="25"/>
        </w:rPr>
        <w:tab/>
        <w:t>of</w:t>
      </w:r>
      <w:r w:rsidR="00F5533D" w:rsidRPr="00465D65">
        <w:rPr>
          <w:rFonts w:ascii="Times New Roman" w:hAnsi="Times New Roman" w:cs="Times New Roman"/>
          <w:sz w:val="25"/>
          <w:szCs w:val="25"/>
        </w:rPr>
        <w:tab/>
        <w:t>| | |the property’ for the</w:t>
      </w:r>
      <w:r w:rsidR="00F5533D" w:rsidRPr="00465D65">
        <w:rPr>
          <w:rFonts w:ascii="Times New Roman" w:hAnsi="Times New Roman" w:cs="Times New Roman"/>
          <w:sz w:val="25"/>
          <w:szCs w:val="25"/>
        </w:rPr>
        <w:tab/>
        <w:t>|</w:t>
      </w:r>
      <w:r w:rsidR="00F5533D" w:rsidRPr="00465D65">
        <w:rPr>
          <w:rFonts w:ascii="Times New Roman" w:hAnsi="Times New Roman" w:cs="Times New Roman"/>
          <w:sz w:val="25"/>
          <w:szCs w:val="25"/>
        </w:rPr>
        <w:tab/>
        <w:t>|</w:t>
      </w:r>
    </w:p>
    <w:p w:rsidR="002350FD" w:rsidRPr="00465D65" w:rsidRDefault="00F5533D">
      <w:pPr>
        <w:pStyle w:val="Tableofcontents0"/>
        <w:shd w:val="clear" w:color="auto" w:fill="auto"/>
        <w:ind w:left="740" w:right="20"/>
        <w:rPr>
          <w:rFonts w:ascii="Times New Roman" w:hAnsi="Times New Roman" w:cs="Times New Roman"/>
          <w:sz w:val="25"/>
          <w:szCs w:val="25"/>
        </w:rPr>
      </w:pPr>
      <w:r w:rsidRPr="00465D65">
        <w:rPr>
          <w:rFonts w:ascii="Times New Roman" w:hAnsi="Times New Roman" w:cs="Times New Roman"/>
          <w:sz w:val="25"/>
          <w:szCs w:val="25"/>
        </w:rPr>
        <w:t xml:space="preserve">|purposes of this sub section,| | |shall be the market-value, | | |which in the case of | | |immovable property shall be | | |deemed </w:t>
      </w:r>
      <w:r w:rsidRPr="00465D65">
        <w:rPr>
          <w:rFonts w:ascii="Times New Roman" w:hAnsi="Times New Roman" w:cs="Times New Roman"/>
          <w:sz w:val="25"/>
          <w:szCs w:val="25"/>
        </w:rPr>
        <w:t>to be the value as | | |computed in accordance with | | |sub-section (v), (v-A) or | | |(v-B), as the</w:t>
      </w:r>
    </w:p>
    <w:p w:rsidR="002350FD" w:rsidRPr="00465D65" w:rsidRDefault="00F5533D">
      <w:pPr>
        <w:pStyle w:val="Tableofcontents0"/>
        <w:shd w:val="clear" w:color="auto" w:fill="auto"/>
        <w:tabs>
          <w:tab w:val="right" w:pos="9056"/>
          <w:tab w:val="right" w:pos="9068"/>
          <w:tab w:val="left" w:pos="9264"/>
        </w:tabs>
        <w:ind w:left="740"/>
        <w:rPr>
          <w:rFonts w:ascii="Times New Roman" w:hAnsi="Times New Roman" w:cs="Times New Roman"/>
          <w:sz w:val="25"/>
          <w:szCs w:val="25"/>
        </w:rPr>
      </w:pPr>
      <w:r w:rsidRPr="00465D65">
        <w:rPr>
          <w:rFonts w:ascii="Times New Roman" w:hAnsi="Times New Roman" w:cs="Times New Roman"/>
          <w:sz w:val="25"/>
          <w:szCs w:val="25"/>
        </w:rPr>
        <w:t>case may be.” | | | | | | | | |</w:t>
      </w:r>
      <w:r w:rsidRPr="00465D65">
        <w:rPr>
          <w:rFonts w:ascii="Times New Roman" w:hAnsi="Times New Roman" w:cs="Times New Roman"/>
          <w:sz w:val="25"/>
          <w:szCs w:val="25"/>
        </w:rPr>
        <w:tab/>
        <w:t>|</w:t>
      </w:r>
      <w:r w:rsidRPr="00465D65">
        <w:rPr>
          <w:rFonts w:ascii="Times New Roman" w:hAnsi="Times New Roman" w:cs="Times New Roman"/>
          <w:sz w:val="25"/>
          <w:szCs w:val="25"/>
        </w:rPr>
        <w:tab/>
        <w:t>| |“Schedule II | | |Article</w:t>
      </w:r>
      <w:r w:rsidRPr="00465D65">
        <w:rPr>
          <w:rFonts w:ascii="Times New Roman" w:hAnsi="Times New Roman" w:cs="Times New Roman"/>
          <w:sz w:val="25"/>
          <w:szCs w:val="25"/>
        </w:rPr>
        <w:tab/>
        <w:t>17</w:t>
      </w:r>
    </w:p>
    <w:p w:rsidR="002350FD" w:rsidRPr="00465D65" w:rsidRDefault="00F5533D">
      <w:pPr>
        <w:pStyle w:val="Tableofcontents0"/>
        <w:shd w:val="clear" w:color="auto" w:fill="auto"/>
        <w:tabs>
          <w:tab w:val="left" w:pos="3998"/>
          <w:tab w:val="left" w:pos="5510"/>
          <w:tab w:val="right" w:pos="9056"/>
          <w:tab w:val="left" w:pos="9274"/>
          <w:tab w:val="left" w:pos="9374"/>
        </w:tabs>
        <w:ind w:left="740"/>
        <w:rPr>
          <w:rFonts w:ascii="Times New Roman" w:hAnsi="Times New Roman" w:cs="Times New Roman"/>
          <w:sz w:val="25"/>
          <w:szCs w:val="25"/>
        </w:rPr>
      </w:pPr>
      <w:r w:rsidRPr="00465D65">
        <w:rPr>
          <w:rFonts w:ascii="Times New Roman" w:hAnsi="Times New Roman" w:cs="Times New Roman"/>
          <w:sz w:val="25"/>
          <w:szCs w:val="25"/>
        </w:rPr>
        <w:t>Plaint or | | |memorandum</w:t>
      </w:r>
      <w:r w:rsidRPr="00465D65">
        <w:rPr>
          <w:rFonts w:ascii="Times New Roman" w:hAnsi="Times New Roman" w:cs="Times New Roman"/>
          <w:sz w:val="25"/>
          <w:szCs w:val="25"/>
        </w:rPr>
        <w:tab/>
        <w:t>of appeal in</w:t>
      </w:r>
      <w:r w:rsidRPr="00465D65">
        <w:rPr>
          <w:rFonts w:ascii="Times New Roman" w:hAnsi="Times New Roman" w:cs="Times New Roman"/>
          <w:sz w:val="25"/>
          <w:szCs w:val="25"/>
        </w:rPr>
        <w:tab/>
        <w:t>each |</w:t>
      </w:r>
      <w:r w:rsidRPr="00465D65">
        <w:rPr>
          <w:rFonts w:ascii="Times New Roman" w:hAnsi="Times New Roman" w:cs="Times New Roman"/>
          <w:sz w:val="25"/>
          <w:szCs w:val="25"/>
        </w:rPr>
        <w:tab/>
        <w:t>| |of the following suits:</w:t>
      </w:r>
      <w:r w:rsidRPr="00465D65">
        <w:rPr>
          <w:rFonts w:ascii="Times New Roman" w:hAnsi="Times New Roman" w:cs="Times New Roman"/>
          <w:sz w:val="25"/>
          <w:szCs w:val="25"/>
        </w:rPr>
        <w:tab/>
        <w:t>|</w:t>
      </w:r>
      <w:r w:rsidRPr="00465D65">
        <w:rPr>
          <w:rFonts w:ascii="Times New Roman" w:hAnsi="Times New Roman" w:cs="Times New Roman"/>
          <w:sz w:val="25"/>
          <w:szCs w:val="25"/>
        </w:rPr>
        <w:tab/>
        <w:t>|</w:t>
      </w:r>
      <w:r w:rsidR="002350FD" w:rsidRPr="00465D65">
        <w:rPr>
          <w:rFonts w:ascii="Times New Roman" w:hAnsi="Times New Roman" w:cs="Times New Roman"/>
          <w:sz w:val="25"/>
          <w:szCs w:val="25"/>
        </w:rPr>
        <w:fldChar w:fldCharType="end"/>
      </w:r>
    </w:p>
    <w:p w:rsidR="002350FD" w:rsidRPr="00465D65" w:rsidRDefault="00F5533D">
      <w:pPr>
        <w:pStyle w:val="Bodytext0"/>
        <w:shd w:val="clear" w:color="auto" w:fill="auto"/>
        <w:tabs>
          <w:tab w:val="left" w:leader="dot" w:pos="2115"/>
          <w:tab w:val="right" w:leader="dot" w:pos="3793"/>
          <w:tab w:val="left" w:pos="3989"/>
        </w:tabs>
        <w:spacing w:before="0" w:line="322" w:lineRule="exact"/>
        <w:ind w:left="740"/>
        <w:jc w:val="both"/>
        <w:rPr>
          <w:rFonts w:ascii="Times New Roman" w:hAnsi="Times New Roman" w:cs="Times New Roman"/>
          <w:sz w:val="25"/>
          <w:szCs w:val="25"/>
        </w:rPr>
        <w:sectPr w:rsidR="002350FD" w:rsidRPr="00465D65">
          <w:footerReference w:type="default" r:id="rId7"/>
          <w:type w:val="continuous"/>
          <w:pgSz w:w="12240" w:h="15840"/>
          <w:pgMar w:top="1332" w:right="1394" w:bottom="1624" w:left="1423" w:header="0" w:footer="3" w:gutter="0"/>
          <w:cols w:space="720"/>
          <w:noEndnote/>
          <w:docGrid w:linePitch="360"/>
        </w:sectPr>
      </w:pPr>
      <w:r w:rsidRPr="00465D65">
        <w:rPr>
          <w:rFonts w:ascii="Times New Roman" w:hAnsi="Times New Roman" w:cs="Times New Roman"/>
          <w:sz w:val="25"/>
          <w:szCs w:val="25"/>
        </w:rPr>
        <w:t>|</w:t>
      </w:r>
      <w:r w:rsidRPr="00465D65">
        <w:rPr>
          <w:rFonts w:ascii="Times New Roman" w:hAnsi="Times New Roman" w:cs="Times New Roman"/>
          <w:sz w:val="25"/>
          <w:szCs w:val="25"/>
        </w:rPr>
        <w:tab/>
        <w:t>| | |</w:t>
      </w:r>
      <w:r w:rsidRPr="00465D65">
        <w:rPr>
          <w:rFonts w:ascii="Times New Roman" w:hAnsi="Times New Roman" w:cs="Times New Roman"/>
          <w:sz w:val="25"/>
          <w:szCs w:val="25"/>
        </w:rPr>
        <w:tab/>
        <w:t>|</w:t>
      </w:r>
      <w:r w:rsidRPr="00465D65">
        <w:rPr>
          <w:rFonts w:ascii="Times New Roman" w:hAnsi="Times New Roman" w:cs="Times New Roman"/>
          <w:sz w:val="25"/>
          <w:szCs w:val="25"/>
        </w:rPr>
        <w:tab/>
        <w:t>| |(iii) To obtain a declaratory| | |decree where no</w:t>
      </w:r>
    </w:p>
    <w:p w:rsidR="002350FD" w:rsidRPr="00465D65" w:rsidRDefault="00F5533D">
      <w:pPr>
        <w:pStyle w:val="Bodytext0"/>
        <w:shd w:val="clear" w:color="auto" w:fill="auto"/>
        <w:tabs>
          <w:tab w:val="right" w:leader="dot" w:pos="5290"/>
          <w:tab w:val="center" w:pos="5435"/>
          <w:tab w:val="right" w:pos="6380"/>
          <w:tab w:val="center" w:pos="6586"/>
          <w:tab w:val="center" w:pos="6980"/>
          <w:tab w:val="right" w:pos="7729"/>
          <w:tab w:val="left" w:pos="7917"/>
        </w:tabs>
        <w:spacing w:before="0" w:line="322" w:lineRule="exact"/>
        <w:ind w:left="740"/>
        <w:jc w:val="both"/>
        <w:rPr>
          <w:rFonts w:ascii="Times New Roman" w:hAnsi="Times New Roman" w:cs="Times New Roman"/>
          <w:sz w:val="25"/>
          <w:szCs w:val="25"/>
        </w:rPr>
      </w:pPr>
      <w:r w:rsidRPr="00465D65">
        <w:rPr>
          <w:rFonts w:ascii="Times New Roman" w:hAnsi="Times New Roman" w:cs="Times New Roman"/>
          <w:sz w:val="25"/>
          <w:szCs w:val="25"/>
        </w:rPr>
        <w:lastRenderedPageBreak/>
        <w:t>consequential! |</w:t>
      </w:r>
      <w:r w:rsidRPr="00465D65">
        <w:rPr>
          <w:rFonts w:ascii="Times New Roman" w:hAnsi="Times New Roman" w:cs="Times New Roman"/>
          <w:sz w:val="25"/>
          <w:szCs w:val="25"/>
        </w:rPr>
        <w:tab/>
        <w:t>|relief</w:t>
      </w:r>
      <w:r w:rsidRPr="00465D65">
        <w:rPr>
          <w:rFonts w:ascii="Times New Roman" w:hAnsi="Times New Roman" w:cs="Times New Roman"/>
          <w:sz w:val="25"/>
          <w:szCs w:val="25"/>
        </w:rPr>
        <w:tab/>
        <w:t>is</w:t>
      </w:r>
      <w:r w:rsidRPr="00465D65">
        <w:rPr>
          <w:rFonts w:ascii="Times New Roman" w:hAnsi="Times New Roman" w:cs="Times New Roman"/>
          <w:sz w:val="25"/>
          <w:szCs w:val="25"/>
        </w:rPr>
        <w:tab/>
        <w:t>prayed</w:t>
      </w:r>
      <w:r w:rsidRPr="00465D65">
        <w:rPr>
          <w:rFonts w:ascii="Times New Roman" w:hAnsi="Times New Roman" w:cs="Times New Roman"/>
          <w:sz w:val="25"/>
          <w:szCs w:val="25"/>
        </w:rPr>
        <w:tab/>
        <w:t>in</w:t>
      </w:r>
      <w:r w:rsidRPr="00465D65">
        <w:rPr>
          <w:rFonts w:ascii="Times New Roman" w:hAnsi="Times New Roman" w:cs="Times New Roman"/>
          <w:sz w:val="25"/>
          <w:szCs w:val="25"/>
        </w:rPr>
        <w:tab/>
        <w:t>any</w:t>
      </w:r>
      <w:r w:rsidRPr="00465D65">
        <w:rPr>
          <w:rFonts w:ascii="Times New Roman" w:hAnsi="Times New Roman" w:cs="Times New Roman"/>
          <w:sz w:val="25"/>
          <w:szCs w:val="25"/>
        </w:rPr>
        <w:tab/>
      </w:r>
      <w:r w:rsidRPr="00465D65">
        <w:rPr>
          <w:rFonts w:ascii="Times New Roman" w:hAnsi="Times New Roman" w:cs="Times New Roman"/>
          <w:sz w:val="25"/>
          <w:szCs w:val="25"/>
        </w:rPr>
        <w:t>suit,|</w:t>
      </w:r>
      <w:r w:rsidRPr="00465D65">
        <w:rPr>
          <w:rFonts w:ascii="Times New Roman" w:hAnsi="Times New Roman" w:cs="Times New Roman"/>
          <w:sz w:val="25"/>
          <w:szCs w:val="25"/>
        </w:rPr>
        <w:tab/>
        <w:t>|“Schedule II</w:t>
      </w:r>
    </w:p>
    <w:p w:rsidR="002350FD" w:rsidRPr="00465D65" w:rsidRDefault="00F5533D">
      <w:pPr>
        <w:pStyle w:val="Bodytext0"/>
        <w:shd w:val="clear" w:color="auto" w:fill="auto"/>
        <w:spacing w:before="0" w:line="322" w:lineRule="exact"/>
        <w:ind w:left="740"/>
        <w:jc w:val="both"/>
        <w:rPr>
          <w:rFonts w:ascii="Times New Roman" w:hAnsi="Times New Roman" w:cs="Times New Roman"/>
          <w:sz w:val="25"/>
          <w:szCs w:val="25"/>
        </w:rPr>
      </w:pPr>
      <w:r w:rsidRPr="00465D65">
        <w:rPr>
          <w:rFonts w:ascii="Times New Roman" w:hAnsi="Times New Roman" w:cs="Times New Roman"/>
          <w:sz w:val="25"/>
          <w:szCs w:val="25"/>
        </w:rPr>
        <w:t>|not otherwise provided for by| |Article 17 Plaint or |this act; | |memorandum</w:t>
      </w:r>
    </w:p>
    <w:p w:rsidR="002350FD" w:rsidRPr="00465D65" w:rsidRDefault="00F5533D">
      <w:pPr>
        <w:pStyle w:val="Bodytext0"/>
        <w:shd w:val="clear" w:color="auto" w:fill="auto"/>
        <w:tabs>
          <w:tab w:val="right" w:leader="dot" w:pos="7484"/>
          <w:tab w:val="right" w:pos="7778"/>
          <w:tab w:val="right" w:pos="7782"/>
          <w:tab w:val="right" w:leader="dot" w:pos="9188"/>
          <w:tab w:val="right" w:pos="9354"/>
        </w:tabs>
        <w:spacing w:before="0" w:line="322" w:lineRule="exact"/>
        <w:ind w:left="740"/>
        <w:jc w:val="both"/>
        <w:rPr>
          <w:rFonts w:ascii="Times New Roman" w:hAnsi="Times New Roman" w:cs="Times New Roman"/>
          <w:sz w:val="25"/>
          <w:szCs w:val="25"/>
        </w:rPr>
      </w:pPr>
      <w:r w:rsidRPr="00465D65">
        <w:rPr>
          <w:rFonts w:ascii="Times New Roman" w:hAnsi="Times New Roman" w:cs="Times New Roman"/>
          <w:sz w:val="25"/>
          <w:szCs w:val="25"/>
        </w:rPr>
        <w:t>of appeal in each | | |of the following suits: | | |</w:t>
      </w:r>
      <w:r w:rsidRPr="00465D65">
        <w:rPr>
          <w:rFonts w:ascii="Times New Roman" w:hAnsi="Times New Roman" w:cs="Times New Roman"/>
          <w:sz w:val="25"/>
          <w:szCs w:val="25"/>
        </w:rPr>
        <w:tab/>
        <w:t>|</w:t>
      </w:r>
      <w:r w:rsidRPr="00465D65">
        <w:rPr>
          <w:rFonts w:ascii="Times New Roman" w:hAnsi="Times New Roman" w:cs="Times New Roman"/>
          <w:sz w:val="25"/>
          <w:szCs w:val="25"/>
        </w:rPr>
        <w:tab/>
        <w:t>|</w:t>
      </w:r>
      <w:r w:rsidRPr="00465D65">
        <w:rPr>
          <w:rFonts w:ascii="Times New Roman" w:hAnsi="Times New Roman" w:cs="Times New Roman"/>
          <w:sz w:val="25"/>
          <w:szCs w:val="25"/>
        </w:rPr>
        <w:tab/>
        <w:t>|</w:t>
      </w:r>
      <w:r w:rsidRPr="00465D65">
        <w:rPr>
          <w:rFonts w:ascii="Times New Roman" w:hAnsi="Times New Roman" w:cs="Times New Roman"/>
          <w:sz w:val="25"/>
          <w:szCs w:val="25"/>
        </w:rPr>
        <w:tab/>
        <w:t>|</w:t>
      </w:r>
      <w:r w:rsidRPr="00465D65">
        <w:rPr>
          <w:rFonts w:ascii="Times New Roman" w:hAnsi="Times New Roman" w:cs="Times New Roman"/>
          <w:sz w:val="25"/>
          <w:szCs w:val="25"/>
        </w:rPr>
        <w:tab/>
        <w:t>|</w:t>
      </w:r>
    </w:p>
    <w:p w:rsidR="002350FD" w:rsidRPr="00465D65" w:rsidRDefault="00F5533D">
      <w:pPr>
        <w:pStyle w:val="Bodytext0"/>
        <w:shd w:val="clear" w:color="auto" w:fill="auto"/>
        <w:spacing w:before="0" w:after="304" w:line="326" w:lineRule="exact"/>
        <w:ind w:left="740" w:right="40"/>
        <w:jc w:val="both"/>
        <w:rPr>
          <w:rFonts w:ascii="Times New Roman" w:hAnsi="Times New Roman" w:cs="Times New Roman"/>
          <w:sz w:val="25"/>
          <w:szCs w:val="25"/>
        </w:rPr>
      </w:pPr>
      <w:r w:rsidRPr="00465D65">
        <w:rPr>
          <w:rFonts w:ascii="Times New Roman" w:hAnsi="Times New Roman" w:cs="Times New Roman"/>
          <w:sz w:val="25"/>
          <w:szCs w:val="25"/>
        </w:rPr>
        <w:t>|(iii) To obtain a declaratory | | |decree where no consequential | | |relief is prayed. ||</w:t>
      </w:r>
    </w:p>
    <w:p w:rsidR="002350FD" w:rsidRPr="00465D65" w:rsidRDefault="00F5533D">
      <w:pPr>
        <w:pStyle w:val="Bodytext0"/>
        <w:numPr>
          <w:ilvl w:val="0"/>
          <w:numId w:val="1"/>
        </w:numPr>
        <w:shd w:val="clear" w:color="auto" w:fill="auto"/>
        <w:spacing w:before="0" w:after="300" w:line="322" w:lineRule="exact"/>
        <w:ind w:left="20" w:right="40"/>
        <w:jc w:val="both"/>
        <w:rPr>
          <w:rFonts w:ascii="Times New Roman" w:hAnsi="Times New Roman" w:cs="Times New Roman"/>
          <w:sz w:val="25"/>
          <w:szCs w:val="25"/>
        </w:rPr>
      </w:pPr>
      <w:r w:rsidRPr="00465D65">
        <w:rPr>
          <w:rFonts w:ascii="Times New Roman" w:hAnsi="Times New Roman" w:cs="Times New Roman"/>
          <w:sz w:val="25"/>
          <w:szCs w:val="25"/>
        </w:rPr>
        <w:t xml:space="preserve"> We may also indicate that the Suits Valuation Act, 1887 in terms of which the suits have to be valued for the purpose of Court Fees Act has also been amended vide U.P. Act 7 of 1939 (w.e.f. 16.7.1939) and the difference in both the Acts are given below:</w:t>
      </w:r>
    </w:p>
    <w:p w:rsidR="002350FD" w:rsidRPr="00465D65" w:rsidRDefault="00F5533D">
      <w:pPr>
        <w:pStyle w:val="Bodytext0"/>
        <w:shd w:val="clear" w:color="auto" w:fill="auto"/>
        <w:spacing w:before="0" w:after="296" w:line="322" w:lineRule="exact"/>
        <w:ind w:left="740" w:right="40"/>
        <w:jc w:val="both"/>
        <w:rPr>
          <w:rFonts w:ascii="Times New Roman" w:hAnsi="Times New Roman" w:cs="Times New Roman"/>
          <w:sz w:val="25"/>
          <w:szCs w:val="25"/>
        </w:rPr>
      </w:pPr>
      <w:r w:rsidRPr="00465D65">
        <w:rPr>
          <w:rFonts w:ascii="Times New Roman" w:hAnsi="Times New Roman" w:cs="Times New Roman"/>
          <w:sz w:val="25"/>
          <w:szCs w:val="25"/>
        </w:rPr>
        <w:t>|</w:t>
      </w:r>
      <w:r w:rsidRPr="00465D65">
        <w:rPr>
          <w:rFonts w:ascii="Times New Roman" w:hAnsi="Times New Roman" w:cs="Times New Roman"/>
          <w:sz w:val="25"/>
          <w:szCs w:val="25"/>
        </w:rPr>
        <w:t xml:space="preserve"> Suits Valuation Act, | Suits Valuation Act, 1887 | |1887(Central Act) |[Amended provision in the | | |State of U.P.] | |4. Valuation of relief in |4. Valuation of certain | |certain suits relating to |suits for the purposes of | |land not to exceed the va</w:t>
      </w:r>
      <w:r w:rsidRPr="00465D65">
        <w:rPr>
          <w:rFonts w:ascii="Times New Roman" w:hAnsi="Times New Roman" w:cs="Times New Roman"/>
          <w:sz w:val="25"/>
          <w:szCs w:val="25"/>
        </w:rPr>
        <w:t>luejurisdiction - Suits | |of the land- |mentioned in paragraphs IV | |Where a suit mentioned in |(a), IVA, IVB, V, VA, VB, | |the Court Fees Act, 1870 (7 |VI, VIA; VIII and X(d) of | |of 1870), Section 7, |Section 7 and Articles 17, | |paragraph IV, or Sc</w:t>
      </w:r>
      <w:r w:rsidRPr="00465D65">
        <w:rPr>
          <w:rFonts w:ascii="Times New Roman" w:hAnsi="Times New Roman" w:cs="Times New Roman"/>
          <w:sz w:val="25"/>
          <w:szCs w:val="25"/>
        </w:rPr>
        <w:t>hedule 118 and 19 of the Schedule | |II, Article 17, relates to |II of the Court-Fees Act, | |land or an interest in land 11870, as in force for the | |of which the value has been |time being in the Uttar | |determined by rules under |Pradesh, shall be val</w:t>
      </w:r>
      <w:r w:rsidRPr="00465D65">
        <w:rPr>
          <w:rFonts w:ascii="Times New Roman" w:hAnsi="Times New Roman" w:cs="Times New Roman"/>
          <w:sz w:val="25"/>
          <w:szCs w:val="25"/>
        </w:rPr>
        <w:t>ued | |the last foregoing section, |for the purposes of | |the amount at which for jurisdiction at the market | |purposes of jurisdiction the|value of the property | |relief sought in the suit is|involved in or affected by | |value shall not exceed the |or</w:t>
      </w:r>
      <w:r w:rsidRPr="00465D65">
        <w:rPr>
          <w:rFonts w:ascii="Times New Roman" w:hAnsi="Times New Roman" w:cs="Times New Roman"/>
          <w:sz w:val="25"/>
          <w:szCs w:val="25"/>
        </w:rPr>
        <w:t xml:space="preserve"> the title to which is | |value of the land or | affected by the reliefs | |interest as determined by |sought, and such value | |those rules. |shall, in the case of land,| | |be deemed to be the value | | |as detgerminable in | | |accordance with the rules</w:t>
      </w:r>
      <w:r w:rsidRPr="00465D65">
        <w:rPr>
          <w:rFonts w:ascii="Times New Roman" w:hAnsi="Times New Roman" w:cs="Times New Roman"/>
          <w:sz w:val="25"/>
          <w:szCs w:val="25"/>
        </w:rPr>
        <w:t xml:space="preserve"> | | framed under Section 3”. | | |[Vide U.P. Act 7 of 1939. | | |Section 3 (w.e.f. | | |16.07.1939]. |</w:t>
      </w:r>
    </w:p>
    <w:p w:rsidR="002350FD" w:rsidRPr="00465D65" w:rsidRDefault="00F5533D">
      <w:pPr>
        <w:pStyle w:val="Bodytext0"/>
        <w:numPr>
          <w:ilvl w:val="0"/>
          <w:numId w:val="1"/>
        </w:numPr>
        <w:shd w:val="clear" w:color="auto" w:fill="auto"/>
        <w:tabs>
          <w:tab w:val="center" w:pos="5403"/>
          <w:tab w:val="right" w:pos="9354"/>
        </w:tabs>
        <w:spacing w:before="0" w:after="304" w:line="326" w:lineRule="exact"/>
        <w:ind w:left="20" w:right="40"/>
        <w:jc w:val="both"/>
        <w:rPr>
          <w:rFonts w:ascii="Times New Roman" w:hAnsi="Times New Roman" w:cs="Times New Roman"/>
          <w:sz w:val="25"/>
          <w:szCs w:val="25"/>
        </w:rPr>
      </w:pPr>
      <w:r w:rsidRPr="00465D65">
        <w:rPr>
          <w:rFonts w:ascii="Times New Roman" w:hAnsi="Times New Roman" w:cs="Times New Roman"/>
          <w:sz w:val="25"/>
          <w:szCs w:val="25"/>
        </w:rPr>
        <w:t xml:space="preserve"> On comparing the above mentioned provisions, it is clear that Article 17(iii) of Schedule II of the Court Fees Act is applicable in cases where the pla</w:t>
      </w:r>
      <w:r w:rsidRPr="00465D65">
        <w:rPr>
          <w:rFonts w:ascii="Times New Roman" w:hAnsi="Times New Roman" w:cs="Times New Roman"/>
          <w:sz w:val="25"/>
          <w:szCs w:val="25"/>
        </w:rPr>
        <w:t xml:space="preserve">intiff seeks to obtain a declaratory decree without any consequential relief and there is no other provision under the Act for payment of fee relating to relief claimed. Article 17(iii) of Schedule II of the Court Fees Act makes it clear that this article </w:t>
      </w:r>
      <w:r w:rsidRPr="00465D65">
        <w:rPr>
          <w:rFonts w:ascii="Times New Roman" w:hAnsi="Times New Roman" w:cs="Times New Roman"/>
          <w:sz w:val="25"/>
          <w:szCs w:val="25"/>
        </w:rPr>
        <w:t>is applicable in cases where plaintiff seeks to obtain a declaratory decree without consequential reliefs and there is no other provision under the Act for payment of fee relating to relief claimed. If there is no other provision under the Court Fees Act i</w:t>
      </w:r>
      <w:r w:rsidRPr="00465D65">
        <w:rPr>
          <w:rFonts w:ascii="Times New Roman" w:hAnsi="Times New Roman" w:cs="Times New Roman"/>
          <w:sz w:val="25"/>
          <w:szCs w:val="25"/>
        </w:rPr>
        <w:t xml:space="preserve">n case of a suit involving cancellation or adjudging/declaring void or voidable a will or sale </w:t>
      </w:r>
      <w:r w:rsidRPr="00465D65">
        <w:rPr>
          <w:rStyle w:val="Bodytext11pt"/>
          <w:rFonts w:ascii="Times New Roman" w:hAnsi="Times New Roman" w:cs="Times New Roman"/>
          <w:sz w:val="25"/>
          <w:szCs w:val="25"/>
        </w:rPr>
        <w:t>Law Information Center</w:t>
      </w:r>
      <w:r w:rsidRPr="00465D65">
        <w:rPr>
          <w:rStyle w:val="Bodytext11pt"/>
          <w:rFonts w:ascii="Times New Roman" w:hAnsi="Times New Roman" w:cs="Times New Roman"/>
          <w:sz w:val="25"/>
          <w:szCs w:val="25"/>
        </w:rPr>
        <w:tab/>
        <w:t>4</w:t>
      </w:r>
      <w:r w:rsidRPr="00465D65">
        <w:rPr>
          <w:rStyle w:val="Bodytext11pt"/>
          <w:rFonts w:ascii="Times New Roman" w:hAnsi="Times New Roman" w:cs="Times New Roman"/>
          <w:sz w:val="25"/>
          <w:szCs w:val="25"/>
        </w:rPr>
        <w:tab/>
        <w:t xml:space="preserve">SpotLaw </w:t>
      </w:r>
      <w:r w:rsidRPr="00465D65">
        <w:rPr>
          <w:rFonts w:ascii="Times New Roman" w:hAnsi="Times New Roman" w:cs="Times New Roman"/>
          <w:sz w:val="25"/>
          <w:szCs w:val="25"/>
        </w:rPr>
        <w:t>deed on the question of payment of court fees, then Article 17(iii) of Schedule II shall be applicable. But if such relief is co</w:t>
      </w:r>
      <w:r w:rsidRPr="00465D65">
        <w:rPr>
          <w:rFonts w:ascii="Times New Roman" w:hAnsi="Times New Roman" w:cs="Times New Roman"/>
          <w:sz w:val="25"/>
          <w:szCs w:val="25"/>
        </w:rPr>
        <w:t xml:space="preserve">vered by any other provisions of the Court Fees Act, then Article 17(iii) of Schedule II will not be applicable. On a comparison between the Court Fees Act and the U.P. Amendment Act, it is clear that Section 7(iv-A) of the U.P. Amendment Act covers suits </w:t>
      </w:r>
      <w:r w:rsidRPr="00465D65">
        <w:rPr>
          <w:rFonts w:ascii="Times New Roman" w:hAnsi="Times New Roman" w:cs="Times New Roman"/>
          <w:sz w:val="25"/>
          <w:szCs w:val="25"/>
        </w:rPr>
        <w:t xml:space="preserve">for or involving cancellation or adjudging/declaring null and </w:t>
      </w:r>
      <w:r w:rsidRPr="00465D65">
        <w:rPr>
          <w:rFonts w:ascii="Times New Roman" w:hAnsi="Times New Roman" w:cs="Times New Roman"/>
          <w:sz w:val="25"/>
          <w:szCs w:val="25"/>
        </w:rPr>
        <w:lastRenderedPageBreak/>
        <w:t>void decree for money or an instrument securing money or other property having such value. The suit, in this case, was filed after the death of the testator and, therefore, the suit property cov</w:t>
      </w:r>
      <w:r w:rsidRPr="00465D65">
        <w:rPr>
          <w:rFonts w:ascii="Times New Roman" w:hAnsi="Times New Roman" w:cs="Times New Roman"/>
          <w:sz w:val="25"/>
          <w:szCs w:val="25"/>
        </w:rPr>
        <w:t>ered by the will has also to be valued. Since Section 7(iv-A) of the U.P. Amendment Act specifically provides that payment of court fee in case where the suit is for or involving cancellation or adjudging/declaring null and void decree for money or an inst</w:t>
      </w:r>
      <w:r w:rsidRPr="00465D65">
        <w:rPr>
          <w:rFonts w:ascii="Times New Roman" w:hAnsi="Times New Roman" w:cs="Times New Roman"/>
          <w:sz w:val="25"/>
          <w:szCs w:val="25"/>
        </w:rPr>
        <w:t>rument, Article 17(iii) of Schedule II of the Court Fees Act would not apply. The U.P. Amendment Act, therefore, is applicable in the present case, despite the fact that no consequential relief has been claimed. Consequently, in terms of Section 7(iv-A) of</w:t>
      </w:r>
      <w:r w:rsidRPr="00465D65">
        <w:rPr>
          <w:rFonts w:ascii="Times New Roman" w:hAnsi="Times New Roman" w:cs="Times New Roman"/>
          <w:sz w:val="25"/>
          <w:szCs w:val="25"/>
        </w:rPr>
        <w:t xml:space="preserve"> the U.P. Amendment Act, the court fees have to be commuted according to the value of the subject matter and the trial Court as well as the High Court have correctly held so.</w:t>
      </w:r>
    </w:p>
    <w:p w:rsidR="002350FD" w:rsidRPr="00465D65" w:rsidRDefault="00F5533D">
      <w:pPr>
        <w:pStyle w:val="Bodytext0"/>
        <w:numPr>
          <w:ilvl w:val="0"/>
          <w:numId w:val="1"/>
        </w:numPr>
        <w:shd w:val="clear" w:color="auto" w:fill="auto"/>
        <w:spacing w:before="0" w:after="300" w:line="322" w:lineRule="exact"/>
        <w:ind w:left="20" w:right="40"/>
        <w:jc w:val="both"/>
        <w:rPr>
          <w:rFonts w:ascii="Times New Roman" w:hAnsi="Times New Roman" w:cs="Times New Roman"/>
          <w:sz w:val="25"/>
          <w:szCs w:val="25"/>
        </w:rPr>
      </w:pPr>
      <w:r w:rsidRPr="00465D65">
        <w:rPr>
          <w:rFonts w:ascii="Times New Roman" w:hAnsi="Times New Roman" w:cs="Times New Roman"/>
          <w:sz w:val="25"/>
          <w:szCs w:val="25"/>
        </w:rPr>
        <w:t xml:space="preserve"> We are of the view that the decision of this Court in Suhrid Singh (supra) is no</w:t>
      </w:r>
      <w:r w:rsidRPr="00465D65">
        <w:rPr>
          <w:rFonts w:ascii="Times New Roman" w:hAnsi="Times New Roman" w:cs="Times New Roman"/>
          <w:sz w:val="25"/>
          <w:szCs w:val="25"/>
        </w:rPr>
        <w:t>t applicable to the facts of the present case. First of all, this Court had no occasion to examine the scope of the U.P. Amendment Act. That was a case in which this Court was dealing with Section 7(iv)(c), (v) and Schedule II Article 17(iii), as amended i</w:t>
      </w:r>
      <w:r w:rsidRPr="00465D65">
        <w:rPr>
          <w:rFonts w:ascii="Times New Roman" w:hAnsi="Times New Roman" w:cs="Times New Roman"/>
          <w:sz w:val="25"/>
          <w:szCs w:val="25"/>
        </w:rPr>
        <w:t>n the State of Punjab. The position that we get in the State of Punjab is entirely different from the State of U.P. and the effect of the U.P. Amendment Act was not an issue which arose for consideration in that case. Consequently, in our view, the said ju</w:t>
      </w:r>
      <w:r w:rsidRPr="00465D65">
        <w:rPr>
          <w:rFonts w:ascii="Times New Roman" w:hAnsi="Times New Roman" w:cs="Times New Roman"/>
          <w:sz w:val="25"/>
          <w:szCs w:val="25"/>
        </w:rPr>
        <w:t>dgment would not apply to the present case.</w:t>
      </w:r>
    </w:p>
    <w:p w:rsidR="002350FD" w:rsidRPr="00465D65" w:rsidRDefault="00F5533D">
      <w:pPr>
        <w:pStyle w:val="Bodytext0"/>
        <w:numPr>
          <w:ilvl w:val="0"/>
          <w:numId w:val="1"/>
        </w:numPr>
        <w:shd w:val="clear" w:color="auto" w:fill="auto"/>
        <w:spacing w:before="0" w:line="322" w:lineRule="exact"/>
        <w:ind w:left="20" w:right="40"/>
        <w:jc w:val="both"/>
        <w:rPr>
          <w:rFonts w:ascii="Times New Roman" w:hAnsi="Times New Roman" w:cs="Times New Roman"/>
          <w:sz w:val="25"/>
          <w:szCs w:val="25"/>
        </w:rPr>
        <w:sectPr w:rsidR="002350FD" w:rsidRPr="00465D65">
          <w:footerReference w:type="default" r:id="rId8"/>
          <w:pgSz w:w="12240" w:h="15840"/>
          <w:pgMar w:top="1332" w:right="1394" w:bottom="1624" w:left="1423" w:header="0" w:footer="3" w:gutter="0"/>
          <w:cols w:space="720"/>
          <w:noEndnote/>
          <w:titlePg/>
          <w:docGrid w:linePitch="360"/>
        </w:sectPr>
      </w:pPr>
      <w:r w:rsidRPr="00465D65">
        <w:rPr>
          <w:rFonts w:ascii="Times New Roman" w:hAnsi="Times New Roman" w:cs="Times New Roman"/>
          <w:sz w:val="25"/>
          <w:szCs w:val="25"/>
        </w:rPr>
        <w:t xml:space="preserve"> Plaintiff, in the instant case, valued the suit at Rs.30 Lakhs for the purpose of pecuniary jurisdiction. However, for the purpose of court fee, the plaintiff paid a fixed court fee of Rs.200/- under Article 17(iii) of Schedule II of the Court Fees Act. P</w:t>
      </w:r>
      <w:r w:rsidRPr="00465D65">
        <w:rPr>
          <w:rFonts w:ascii="Times New Roman" w:hAnsi="Times New Roman" w:cs="Times New Roman"/>
          <w:sz w:val="25"/>
          <w:szCs w:val="25"/>
        </w:rPr>
        <w:t>laintiff had not noticed the fact that the above mentioned article stood amended by the State, by adding the words “not otherwise provided by this Act”. Since Section 7(iv-A) of the U.P. Amended Act specifically provides for payment of court fee in case wh</w:t>
      </w:r>
      <w:r w:rsidRPr="00465D65">
        <w:rPr>
          <w:rFonts w:ascii="Times New Roman" w:hAnsi="Times New Roman" w:cs="Times New Roman"/>
          <w:sz w:val="25"/>
          <w:szCs w:val="25"/>
        </w:rPr>
        <w:t>ere the suit is for or involving cancellation or adjudging/declaring void or voidable an instrument securing property having money value, Article 17(iii) of Schedule II of the Court Fees Act shall not be applicable.</w:t>
      </w:r>
    </w:p>
    <w:p w:rsidR="002350FD" w:rsidRPr="00465D65" w:rsidRDefault="00F5533D">
      <w:pPr>
        <w:pStyle w:val="Bodytext0"/>
        <w:numPr>
          <w:ilvl w:val="0"/>
          <w:numId w:val="1"/>
        </w:numPr>
        <w:shd w:val="clear" w:color="auto" w:fill="auto"/>
        <w:tabs>
          <w:tab w:val="left" w:pos="537"/>
        </w:tabs>
        <w:spacing w:before="0" w:line="322" w:lineRule="exact"/>
        <w:ind w:left="20" w:right="400"/>
        <w:jc w:val="left"/>
        <w:rPr>
          <w:rFonts w:ascii="Times New Roman" w:hAnsi="Times New Roman" w:cs="Times New Roman"/>
          <w:sz w:val="25"/>
          <w:szCs w:val="25"/>
        </w:rPr>
      </w:pPr>
      <w:r w:rsidRPr="00465D65">
        <w:rPr>
          <w:rFonts w:ascii="Times New Roman" w:hAnsi="Times New Roman" w:cs="Times New Roman"/>
          <w:sz w:val="25"/>
          <w:szCs w:val="25"/>
        </w:rPr>
        <w:lastRenderedPageBreak/>
        <w:t>For the reasons abovementioned, the appe</w:t>
      </w:r>
      <w:r w:rsidRPr="00465D65">
        <w:rPr>
          <w:rFonts w:ascii="Times New Roman" w:hAnsi="Times New Roman" w:cs="Times New Roman"/>
          <w:sz w:val="25"/>
          <w:szCs w:val="25"/>
        </w:rPr>
        <w:t>al lacks in merits and the same is dismissed, with no order as to costs.</w:t>
      </w:r>
    </w:p>
    <w:sectPr w:rsidR="002350FD" w:rsidRPr="00465D65" w:rsidSect="002350FD">
      <w:type w:val="continuous"/>
      <w:pgSz w:w="12240" w:h="15840"/>
      <w:pgMar w:top="1155" w:right="1238" w:bottom="12934" w:left="127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533D" w:rsidRDefault="00F5533D" w:rsidP="002350FD">
      <w:r>
        <w:separator/>
      </w:r>
    </w:p>
  </w:endnote>
  <w:endnote w:type="continuationSeparator" w:id="1">
    <w:p w:rsidR="00F5533D" w:rsidRDefault="00F5533D" w:rsidP="002350FD">
      <w:r>
        <w:continuationSeparator/>
      </w:r>
    </w:p>
  </w:endnote>
</w:endnotes>
</file>

<file path=word/fontTable.xml><?xml version="1.0" encoding="utf-8"?>
<w:fonts xmlns:r="http://schemas.openxmlformats.org/officeDocument/2006/relationships" xmlns:w="http://schemas.openxmlformats.org/wordprocessingml/2006/main">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0FD" w:rsidRDefault="002350FD">
    <w:pPr>
      <w:rPr>
        <w:sz w:val="2"/>
        <w:szCs w:val="2"/>
      </w:rPr>
    </w:pPr>
    <w:r w:rsidRPr="002350FD">
      <w:pict>
        <v:shapetype id="_x0000_t202" coordsize="21600,21600" o:spt="202" path="m,l,21600r21600,l21600,xe">
          <v:stroke joinstyle="miter"/>
          <v:path gradientshapeok="t" o:connecttype="rect"/>
        </v:shapetype>
        <v:shape id="_x0000_s1025" type="#_x0000_t202" style="position:absolute;margin-left:72.6pt;margin-top:731.55pt;width:467.75pt;height:11.05pt;z-index:-188744064;mso-wrap-distance-left:5pt;mso-wrap-distance-right:5pt;mso-position-horizontal-relative:page;mso-position-vertical-relative:page" wrapcoords="0 0" filled="f" stroked="f">
          <v:textbox style="mso-fit-shape-to-text:t" inset="0,0,0,0">
            <w:txbxContent>
              <w:p w:rsidR="002350FD" w:rsidRDefault="00F5533D">
                <w:pPr>
                  <w:pStyle w:val="Headerorfooter0"/>
                  <w:shd w:val="clear" w:color="auto" w:fill="auto"/>
                  <w:tabs>
                    <w:tab w:val="right" w:pos="5395"/>
                    <w:tab w:val="right" w:pos="9355"/>
                  </w:tabs>
                  <w:spacing w:line="240" w:lineRule="auto"/>
                </w:pPr>
                <w:r>
                  <w:rPr>
                    <w:rStyle w:val="Headerorfooter1"/>
                  </w:rPr>
                  <w:t>Law Information Center</w:t>
                </w:r>
                <w:r>
                  <w:rPr>
                    <w:rStyle w:val="Headerorfooter1"/>
                  </w:rPr>
                  <w:tab/>
                </w:r>
                <w:fldSimple w:instr=" PAGE \* MERGEFORMAT ">
                  <w:r w:rsidR="00465D65" w:rsidRPr="00465D65">
                    <w:rPr>
                      <w:rStyle w:val="Headerorfooter1"/>
                      <w:noProof/>
                    </w:rPr>
                    <w:t>3</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0FD" w:rsidRDefault="002350FD">
    <w:pPr>
      <w:rPr>
        <w:sz w:val="2"/>
        <w:szCs w:val="2"/>
      </w:rPr>
    </w:pPr>
    <w:r w:rsidRPr="002350FD">
      <w:pict>
        <v:shapetype id="_x0000_t202" coordsize="21600,21600" o:spt="202" path="m,l,21600r21600,l21600,xe">
          <v:stroke joinstyle="miter"/>
          <v:path gradientshapeok="t" o:connecttype="rect"/>
        </v:shapetype>
        <v:shape id="_x0000_s1026" type="#_x0000_t202" style="position:absolute;margin-left:72.6pt;margin-top:731.55pt;width:467.75pt;height:11.05pt;z-index:-188744063;mso-wrap-distance-left:5pt;mso-wrap-distance-right:5pt;mso-position-horizontal-relative:page;mso-position-vertical-relative:page" wrapcoords="0 0" filled="f" stroked="f">
          <v:textbox style="mso-fit-shape-to-text:t" inset="0,0,0,0">
            <w:txbxContent>
              <w:p w:rsidR="002350FD" w:rsidRDefault="00F5533D">
                <w:pPr>
                  <w:pStyle w:val="Headerorfooter0"/>
                  <w:shd w:val="clear" w:color="auto" w:fill="auto"/>
                  <w:tabs>
                    <w:tab w:val="right" w:pos="5395"/>
                    <w:tab w:val="right" w:pos="9355"/>
                  </w:tabs>
                  <w:spacing w:line="240" w:lineRule="auto"/>
                </w:pPr>
                <w:r>
                  <w:rPr>
                    <w:rStyle w:val="Headerorfooter1"/>
                  </w:rPr>
                  <w:t>Law Information Center</w:t>
                </w:r>
                <w:r>
                  <w:rPr>
                    <w:rStyle w:val="Headerorfooter1"/>
                  </w:rPr>
                  <w:tab/>
                </w:r>
                <w:fldSimple w:instr=" PAGE \* MERGEFORMAT ">
                  <w:r w:rsidR="00465D65" w:rsidRPr="00465D65">
                    <w:rPr>
                      <w:rStyle w:val="Headerorfooter1"/>
                      <w:noProof/>
                    </w:rPr>
                    <w:t>5</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533D" w:rsidRDefault="00F5533D"/>
  </w:footnote>
  <w:footnote w:type="continuationSeparator" w:id="1">
    <w:p w:rsidR="00F5533D" w:rsidRDefault="00F5533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0B6440"/>
    <w:multiLevelType w:val="multilevel"/>
    <w:tmpl w:val="748C8B18"/>
    <w:lvl w:ilvl="0">
      <w:start w:val="1"/>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17E7A49"/>
    <w:multiLevelType w:val="multilevel"/>
    <w:tmpl w:val="18086F86"/>
    <w:lvl w:ilvl="0">
      <w:start w:val="2"/>
      <w:numFmt w:val="upperLetter"/>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2350FD"/>
    <w:rsid w:val="002350FD"/>
    <w:rsid w:val="00465D65"/>
    <w:rsid w:val="00F553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50F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350FD"/>
    <w:rPr>
      <w:color w:val="0066CC"/>
      <w:u w:val="single"/>
    </w:rPr>
  </w:style>
  <w:style w:type="character" w:customStyle="1" w:styleId="Bodytext2">
    <w:name w:val="Body text (2)_"/>
    <w:basedOn w:val="DefaultParagraphFont"/>
    <w:link w:val="Bodytext20"/>
    <w:rsid w:val="002350FD"/>
    <w:rPr>
      <w:rFonts w:ascii="David" w:eastAsia="David" w:hAnsi="David" w:cs="David"/>
      <w:b/>
      <w:bCs/>
      <w:i w:val="0"/>
      <w:iCs w:val="0"/>
      <w:smallCaps w:val="0"/>
      <w:strike w:val="0"/>
      <w:sz w:val="28"/>
      <w:szCs w:val="28"/>
      <w:u w:val="none"/>
    </w:rPr>
  </w:style>
  <w:style w:type="character" w:customStyle="1" w:styleId="Headerorfooter">
    <w:name w:val="Header or footer_"/>
    <w:basedOn w:val="DefaultParagraphFont"/>
    <w:link w:val="Headerorfooter0"/>
    <w:rsid w:val="002350FD"/>
    <w:rPr>
      <w:rFonts w:ascii="David" w:eastAsia="David" w:hAnsi="David" w:cs="David"/>
      <w:b w:val="0"/>
      <w:bCs w:val="0"/>
      <w:i w:val="0"/>
      <w:iCs w:val="0"/>
      <w:smallCaps w:val="0"/>
      <w:strike w:val="0"/>
      <w:sz w:val="22"/>
      <w:szCs w:val="22"/>
      <w:u w:val="none"/>
    </w:rPr>
  </w:style>
  <w:style w:type="character" w:customStyle="1" w:styleId="Headerorfooter1">
    <w:name w:val="Header or footer"/>
    <w:basedOn w:val="Headerorfooter"/>
    <w:rsid w:val="002350FD"/>
    <w:rPr>
      <w:color w:val="000000"/>
      <w:spacing w:val="0"/>
      <w:w w:val="100"/>
      <w:position w:val="0"/>
      <w:lang w:val="en-US" w:eastAsia="en-US" w:bidi="en-US"/>
    </w:rPr>
  </w:style>
  <w:style w:type="character" w:customStyle="1" w:styleId="Bodytext">
    <w:name w:val="Body text_"/>
    <w:basedOn w:val="DefaultParagraphFont"/>
    <w:link w:val="Bodytext0"/>
    <w:rsid w:val="002350FD"/>
    <w:rPr>
      <w:rFonts w:ascii="David" w:eastAsia="David" w:hAnsi="David" w:cs="David"/>
      <w:b w:val="0"/>
      <w:bCs w:val="0"/>
      <w:i w:val="0"/>
      <w:iCs w:val="0"/>
      <w:smallCaps w:val="0"/>
      <w:strike w:val="0"/>
      <w:sz w:val="26"/>
      <w:szCs w:val="26"/>
      <w:u w:val="none"/>
    </w:rPr>
  </w:style>
  <w:style w:type="character" w:customStyle="1" w:styleId="Tableofcontents">
    <w:name w:val="Table of contents_"/>
    <w:basedOn w:val="DefaultParagraphFont"/>
    <w:link w:val="Tableofcontents0"/>
    <w:rsid w:val="002350FD"/>
    <w:rPr>
      <w:rFonts w:ascii="David" w:eastAsia="David" w:hAnsi="David" w:cs="David"/>
      <w:b w:val="0"/>
      <w:bCs w:val="0"/>
      <w:i w:val="0"/>
      <w:iCs w:val="0"/>
      <w:smallCaps w:val="0"/>
      <w:strike w:val="0"/>
      <w:sz w:val="26"/>
      <w:szCs w:val="26"/>
      <w:u w:val="none"/>
    </w:rPr>
  </w:style>
  <w:style w:type="character" w:customStyle="1" w:styleId="Bodytext11pt">
    <w:name w:val="Body text + 11 pt"/>
    <w:basedOn w:val="Bodytext"/>
    <w:rsid w:val="002350FD"/>
    <w:rPr>
      <w:color w:val="000000"/>
      <w:spacing w:val="0"/>
      <w:w w:val="100"/>
      <w:position w:val="0"/>
      <w:sz w:val="22"/>
      <w:szCs w:val="22"/>
      <w:lang w:val="en-US" w:eastAsia="en-US" w:bidi="en-US"/>
    </w:rPr>
  </w:style>
  <w:style w:type="paragraph" w:customStyle="1" w:styleId="Bodytext20">
    <w:name w:val="Body text (2)"/>
    <w:basedOn w:val="Normal"/>
    <w:link w:val="Bodytext2"/>
    <w:rsid w:val="002350FD"/>
    <w:pPr>
      <w:shd w:val="clear" w:color="auto" w:fill="FFFFFF"/>
      <w:spacing w:after="420" w:line="0" w:lineRule="atLeast"/>
      <w:jc w:val="center"/>
    </w:pPr>
    <w:rPr>
      <w:rFonts w:ascii="David" w:eastAsia="David" w:hAnsi="David" w:cs="David"/>
      <w:b/>
      <w:bCs/>
      <w:sz w:val="28"/>
      <w:szCs w:val="28"/>
    </w:rPr>
  </w:style>
  <w:style w:type="paragraph" w:customStyle="1" w:styleId="Headerorfooter0">
    <w:name w:val="Header or footer"/>
    <w:basedOn w:val="Normal"/>
    <w:link w:val="Headerorfooter"/>
    <w:rsid w:val="002350FD"/>
    <w:pPr>
      <w:shd w:val="clear" w:color="auto" w:fill="FFFFFF"/>
      <w:spacing w:line="0" w:lineRule="atLeast"/>
    </w:pPr>
    <w:rPr>
      <w:rFonts w:ascii="David" w:eastAsia="David" w:hAnsi="David" w:cs="David"/>
      <w:sz w:val="22"/>
      <w:szCs w:val="22"/>
    </w:rPr>
  </w:style>
  <w:style w:type="paragraph" w:customStyle="1" w:styleId="Bodytext0">
    <w:name w:val="Body text"/>
    <w:basedOn w:val="Normal"/>
    <w:link w:val="Bodytext"/>
    <w:rsid w:val="002350FD"/>
    <w:pPr>
      <w:shd w:val="clear" w:color="auto" w:fill="FFFFFF"/>
      <w:spacing w:before="420" w:line="643" w:lineRule="exact"/>
      <w:jc w:val="center"/>
    </w:pPr>
    <w:rPr>
      <w:rFonts w:ascii="David" w:eastAsia="David" w:hAnsi="David" w:cs="David"/>
      <w:sz w:val="26"/>
      <w:szCs w:val="26"/>
    </w:rPr>
  </w:style>
  <w:style w:type="paragraph" w:customStyle="1" w:styleId="Tableofcontents0">
    <w:name w:val="Table of contents"/>
    <w:basedOn w:val="Normal"/>
    <w:link w:val="Tableofcontents"/>
    <w:rsid w:val="002350FD"/>
    <w:pPr>
      <w:shd w:val="clear" w:color="auto" w:fill="FFFFFF"/>
      <w:spacing w:line="322" w:lineRule="exact"/>
      <w:jc w:val="both"/>
    </w:pPr>
    <w:rPr>
      <w:rFonts w:ascii="David" w:eastAsia="David" w:hAnsi="David" w:cs="David"/>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1777</Words>
  <Characters>10135</Characters>
  <Application>Microsoft Office Word</Application>
  <DocSecurity>0</DocSecurity>
  <Lines>84</Lines>
  <Paragraphs>23</Paragraphs>
  <ScaleCrop>false</ScaleCrop>
  <Company/>
  <LinksUpToDate>false</LinksUpToDate>
  <CharactersWithSpaces>11889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2017-06-29T12:28:00Z</dcterms:created>
  <dcterms:modified xsi:type="dcterms:W3CDTF">2017-06-29T12:28:00Z</dcterms:modified>
</cp:coreProperties>
</file>