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0BA0" w:rsidRDefault="00EB22DA" w:rsidP="00B924EC">
      <w:pPr>
        <w:pStyle w:val="Bodytext20"/>
        <w:shd w:val="clear" w:color="auto" w:fill="auto"/>
        <w:spacing w:after="0" w:line="240" w:lineRule="auto"/>
        <w:ind w:left="20"/>
        <w:rPr>
          <w:rFonts w:ascii="Times New Roman" w:hAnsi="Times New Roman" w:cs="Times New Roman"/>
          <w:sz w:val="25"/>
          <w:szCs w:val="25"/>
        </w:rPr>
      </w:pPr>
      <w:r w:rsidRPr="00B924EC">
        <w:rPr>
          <w:rFonts w:ascii="Times New Roman" w:hAnsi="Times New Roman" w:cs="Times New Roman"/>
          <w:sz w:val="25"/>
          <w:szCs w:val="25"/>
        </w:rPr>
        <w:t>SUPREME COURT OF INDIA</w:t>
      </w:r>
    </w:p>
    <w:p w:rsidR="00B924EC" w:rsidRPr="00B924EC" w:rsidRDefault="00B924EC" w:rsidP="00B924EC">
      <w:pPr>
        <w:pStyle w:val="Bodytext20"/>
        <w:shd w:val="clear" w:color="auto" w:fill="auto"/>
        <w:spacing w:after="0" w:line="240" w:lineRule="auto"/>
        <w:ind w:left="20"/>
        <w:rPr>
          <w:rFonts w:ascii="Times New Roman" w:hAnsi="Times New Roman" w:cs="Times New Roman"/>
          <w:sz w:val="25"/>
          <w:szCs w:val="25"/>
        </w:rPr>
      </w:pPr>
    </w:p>
    <w:p w:rsidR="00B924EC" w:rsidRDefault="00EB22DA" w:rsidP="00B924EC">
      <w:pPr>
        <w:pStyle w:val="Bodytext0"/>
        <w:shd w:val="clear" w:color="auto" w:fill="auto"/>
        <w:spacing w:before="0" w:line="240" w:lineRule="auto"/>
        <w:ind w:left="20"/>
        <w:rPr>
          <w:rFonts w:ascii="Times New Roman" w:hAnsi="Times New Roman" w:cs="Times New Roman"/>
          <w:sz w:val="25"/>
          <w:szCs w:val="25"/>
        </w:rPr>
      </w:pPr>
      <w:r w:rsidRPr="00B924EC">
        <w:rPr>
          <w:rFonts w:ascii="Times New Roman" w:hAnsi="Times New Roman" w:cs="Times New Roman"/>
          <w:sz w:val="25"/>
          <w:szCs w:val="25"/>
        </w:rPr>
        <w:t xml:space="preserve">Chairman, LIC of India </w:t>
      </w:r>
    </w:p>
    <w:p w:rsidR="00B924EC" w:rsidRPr="00B924EC" w:rsidRDefault="00B924EC" w:rsidP="00B924EC">
      <w:pPr>
        <w:pStyle w:val="Bodytext0"/>
        <w:shd w:val="clear" w:color="auto" w:fill="auto"/>
        <w:spacing w:before="0" w:line="240" w:lineRule="auto"/>
        <w:ind w:left="20"/>
        <w:rPr>
          <w:rFonts w:ascii="Times New Roman" w:hAnsi="Times New Roman" w:cs="Times New Roman"/>
          <w:sz w:val="25"/>
          <w:szCs w:val="25"/>
        </w:rPr>
      </w:pPr>
    </w:p>
    <w:p w:rsidR="00940BA0" w:rsidRDefault="00EB22DA" w:rsidP="00B924EC">
      <w:pPr>
        <w:pStyle w:val="Bodytext0"/>
        <w:shd w:val="clear" w:color="auto" w:fill="auto"/>
        <w:spacing w:before="0" w:line="240" w:lineRule="auto"/>
        <w:ind w:left="20"/>
        <w:rPr>
          <w:rFonts w:ascii="Times New Roman" w:hAnsi="Times New Roman" w:cs="Times New Roman"/>
          <w:sz w:val="25"/>
          <w:szCs w:val="25"/>
        </w:rPr>
      </w:pPr>
      <w:r w:rsidRPr="00B924EC">
        <w:rPr>
          <w:rFonts w:ascii="Times New Roman" w:hAnsi="Times New Roman" w:cs="Times New Roman"/>
          <w:sz w:val="25"/>
          <w:szCs w:val="25"/>
        </w:rPr>
        <w:t>Vs.</w:t>
      </w:r>
    </w:p>
    <w:p w:rsidR="00B924EC" w:rsidRPr="00B924EC" w:rsidRDefault="00B924EC" w:rsidP="00B924EC">
      <w:pPr>
        <w:pStyle w:val="Bodytext0"/>
        <w:shd w:val="clear" w:color="auto" w:fill="auto"/>
        <w:spacing w:before="0" w:line="240" w:lineRule="auto"/>
        <w:ind w:left="20"/>
        <w:rPr>
          <w:rFonts w:ascii="Times New Roman" w:hAnsi="Times New Roman" w:cs="Times New Roman"/>
          <w:sz w:val="25"/>
          <w:szCs w:val="25"/>
        </w:rPr>
      </w:pPr>
    </w:p>
    <w:p w:rsidR="00940BA0" w:rsidRDefault="00EB22DA" w:rsidP="00B924EC">
      <w:pPr>
        <w:pStyle w:val="Bodytext0"/>
        <w:numPr>
          <w:ilvl w:val="0"/>
          <w:numId w:val="8"/>
        </w:numPr>
        <w:shd w:val="clear" w:color="auto" w:fill="auto"/>
        <w:spacing w:before="0" w:line="240" w:lineRule="auto"/>
        <w:rPr>
          <w:rFonts w:ascii="Times New Roman" w:hAnsi="Times New Roman" w:cs="Times New Roman"/>
          <w:sz w:val="25"/>
          <w:szCs w:val="25"/>
        </w:rPr>
      </w:pPr>
      <w:r w:rsidRPr="00B924EC">
        <w:rPr>
          <w:rFonts w:ascii="Times New Roman" w:hAnsi="Times New Roman" w:cs="Times New Roman"/>
          <w:sz w:val="25"/>
          <w:szCs w:val="25"/>
        </w:rPr>
        <w:t>Masilamani</w:t>
      </w:r>
    </w:p>
    <w:p w:rsidR="00B924EC" w:rsidRPr="00B924EC" w:rsidRDefault="00B924EC" w:rsidP="00B924EC">
      <w:pPr>
        <w:pStyle w:val="Bodytext0"/>
        <w:shd w:val="clear" w:color="auto" w:fill="auto"/>
        <w:spacing w:before="0" w:line="240" w:lineRule="auto"/>
        <w:ind w:left="380"/>
        <w:jc w:val="left"/>
        <w:rPr>
          <w:rFonts w:ascii="Times New Roman" w:hAnsi="Times New Roman" w:cs="Times New Roman"/>
          <w:sz w:val="25"/>
          <w:szCs w:val="25"/>
        </w:rPr>
      </w:pPr>
    </w:p>
    <w:p w:rsidR="00B924EC" w:rsidRDefault="00B924EC" w:rsidP="00B924EC">
      <w:pPr>
        <w:pStyle w:val="Bodytext0"/>
        <w:shd w:val="clear" w:color="auto" w:fill="auto"/>
        <w:tabs>
          <w:tab w:val="left" w:pos="5048"/>
        </w:tabs>
        <w:spacing w:before="0" w:line="240" w:lineRule="auto"/>
        <w:ind w:left="3480" w:right="2060"/>
        <w:jc w:val="left"/>
        <w:rPr>
          <w:rFonts w:ascii="Times New Roman" w:hAnsi="Times New Roman" w:cs="Times New Roman"/>
          <w:sz w:val="25"/>
          <w:szCs w:val="25"/>
        </w:rPr>
      </w:pPr>
      <w:r w:rsidRPr="00B924EC">
        <w:rPr>
          <w:rFonts w:ascii="Times New Roman" w:hAnsi="Times New Roman" w:cs="Times New Roman"/>
          <w:sz w:val="25"/>
          <w:szCs w:val="25"/>
        </w:rPr>
        <w:t>C.</w:t>
      </w:r>
      <w:r w:rsidR="00EB22DA" w:rsidRPr="00B924EC">
        <w:rPr>
          <w:rFonts w:ascii="Times New Roman" w:hAnsi="Times New Roman" w:cs="Times New Roman"/>
          <w:sz w:val="25"/>
          <w:szCs w:val="25"/>
        </w:rPr>
        <w:t>A.No.8263 of 2012</w:t>
      </w:r>
    </w:p>
    <w:p w:rsidR="00B924EC" w:rsidRPr="00B924EC" w:rsidRDefault="00B924EC" w:rsidP="00B924EC">
      <w:pPr>
        <w:pStyle w:val="Bodytext0"/>
        <w:shd w:val="clear" w:color="auto" w:fill="auto"/>
        <w:tabs>
          <w:tab w:val="left" w:pos="5048"/>
        </w:tabs>
        <w:spacing w:before="0" w:line="240" w:lineRule="auto"/>
        <w:ind w:left="3480" w:right="2060"/>
        <w:jc w:val="left"/>
        <w:rPr>
          <w:rFonts w:ascii="Times New Roman" w:hAnsi="Times New Roman" w:cs="Times New Roman"/>
          <w:sz w:val="25"/>
          <w:szCs w:val="25"/>
        </w:rPr>
      </w:pPr>
    </w:p>
    <w:p w:rsidR="00940BA0" w:rsidRDefault="00EB22DA" w:rsidP="00B924EC">
      <w:pPr>
        <w:pStyle w:val="Bodytext0"/>
        <w:shd w:val="clear" w:color="auto" w:fill="auto"/>
        <w:tabs>
          <w:tab w:val="left" w:pos="5048"/>
        </w:tabs>
        <w:spacing w:before="0" w:line="240" w:lineRule="auto"/>
        <w:ind w:right="32"/>
        <w:rPr>
          <w:rFonts w:ascii="Times New Roman" w:hAnsi="Times New Roman" w:cs="Times New Roman"/>
          <w:sz w:val="25"/>
          <w:szCs w:val="25"/>
        </w:rPr>
      </w:pPr>
      <w:r w:rsidRPr="00B924EC">
        <w:rPr>
          <w:rFonts w:ascii="Times New Roman" w:hAnsi="Times New Roman" w:cs="Times New Roman"/>
          <w:sz w:val="25"/>
          <w:szCs w:val="25"/>
        </w:rPr>
        <w:t>(Dr.B.S.Chauhan and Jagdish Singh Khehar JJ.)</w:t>
      </w:r>
    </w:p>
    <w:p w:rsidR="00B924EC" w:rsidRPr="00B924EC" w:rsidRDefault="00B924EC" w:rsidP="00B924EC">
      <w:pPr>
        <w:pStyle w:val="Bodytext0"/>
        <w:shd w:val="clear" w:color="auto" w:fill="auto"/>
        <w:tabs>
          <w:tab w:val="left" w:pos="5048"/>
        </w:tabs>
        <w:spacing w:before="0" w:line="240" w:lineRule="auto"/>
        <w:ind w:right="32"/>
        <w:rPr>
          <w:rFonts w:ascii="Times New Roman" w:hAnsi="Times New Roman" w:cs="Times New Roman"/>
          <w:sz w:val="25"/>
          <w:szCs w:val="25"/>
        </w:rPr>
      </w:pPr>
    </w:p>
    <w:p w:rsidR="00940BA0" w:rsidRDefault="00EB22DA" w:rsidP="00B924EC">
      <w:pPr>
        <w:pStyle w:val="Bodytext0"/>
        <w:shd w:val="clear" w:color="auto" w:fill="auto"/>
        <w:spacing w:before="0" w:line="240" w:lineRule="auto"/>
        <w:ind w:left="20"/>
        <w:rPr>
          <w:rFonts w:ascii="Times New Roman" w:hAnsi="Times New Roman" w:cs="Times New Roman"/>
          <w:sz w:val="25"/>
          <w:szCs w:val="25"/>
        </w:rPr>
      </w:pPr>
      <w:r w:rsidRPr="00B924EC">
        <w:rPr>
          <w:rFonts w:ascii="Times New Roman" w:hAnsi="Times New Roman" w:cs="Times New Roman"/>
          <w:sz w:val="25"/>
          <w:szCs w:val="25"/>
        </w:rPr>
        <w:t>23.11.2012</w:t>
      </w:r>
    </w:p>
    <w:p w:rsidR="00B924EC" w:rsidRPr="00B924EC" w:rsidRDefault="00B924EC" w:rsidP="00B924EC">
      <w:pPr>
        <w:pStyle w:val="Bodytext0"/>
        <w:shd w:val="clear" w:color="auto" w:fill="auto"/>
        <w:spacing w:before="0" w:line="240" w:lineRule="auto"/>
        <w:ind w:left="20"/>
        <w:rPr>
          <w:rFonts w:ascii="Times New Roman" w:hAnsi="Times New Roman" w:cs="Times New Roman"/>
          <w:sz w:val="25"/>
          <w:szCs w:val="25"/>
        </w:rPr>
      </w:pPr>
    </w:p>
    <w:p w:rsidR="00940BA0" w:rsidRDefault="00EB22DA" w:rsidP="00B924EC">
      <w:pPr>
        <w:pStyle w:val="Bodytext20"/>
        <w:shd w:val="clear" w:color="auto" w:fill="auto"/>
        <w:spacing w:after="0" w:line="240" w:lineRule="auto"/>
        <w:ind w:left="20"/>
        <w:rPr>
          <w:rFonts w:ascii="Times New Roman" w:hAnsi="Times New Roman" w:cs="Times New Roman"/>
          <w:sz w:val="25"/>
          <w:szCs w:val="25"/>
        </w:rPr>
      </w:pPr>
      <w:r w:rsidRPr="00B924EC">
        <w:rPr>
          <w:rFonts w:ascii="Times New Roman" w:hAnsi="Times New Roman" w:cs="Times New Roman"/>
          <w:sz w:val="25"/>
          <w:szCs w:val="25"/>
        </w:rPr>
        <w:t>JUDGMENT</w:t>
      </w:r>
    </w:p>
    <w:p w:rsidR="00B924EC" w:rsidRPr="00B924EC" w:rsidRDefault="00B924EC" w:rsidP="00B924EC">
      <w:pPr>
        <w:pStyle w:val="Bodytext20"/>
        <w:shd w:val="clear" w:color="auto" w:fill="auto"/>
        <w:spacing w:after="0" w:line="240" w:lineRule="auto"/>
        <w:ind w:left="20"/>
        <w:rPr>
          <w:rFonts w:ascii="Times New Roman" w:hAnsi="Times New Roman" w:cs="Times New Roman"/>
          <w:sz w:val="25"/>
          <w:szCs w:val="25"/>
        </w:rPr>
      </w:pPr>
    </w:p>
    <w:p w:rsidR="00940BA0" w:rsidRPr="00B924EC" w:rsidRDefault="00EB22DA" w:rsidP="00B924EC">
      <w:pPr>
        <w:pStyle w:val="Bodytext20"/>
        <w:shd w:val="clear" w:color="auto" w:fill="auto"/>
        <w:spacing w:after="0" w:line="240" w:lineRule="auto"/>
        <w:ind w:left="20"/>
        <w:jc w:val="both"/>
        <w:rPr>
          <w:rFonts w:ascii="Times New Roman" w:hAnsi="Times New Roman" w:cs="Times New Roman"/>
          <w:sz w:val="25"/>
          <w:szCs w:val="25"/>
        </w:rPr>
      </w:pPr>
      <w:r w:rsidRPr="00B924EC">
        <w:rPr>
          <w:rFonts w:ascii="Times New Roman" w:hAnsi="Times New Roman" w:cs="Times New Roman"/>
          <w:sz w:val="25"/>
          <w:szCs w:val="25"/>
        </w:rPr>
        <w:t>Dr</w:t>
      </w:r>
      <w:r w:rsidR="00B924EC" w:rsidRPr="00B924EC">
        <w:rPr>
          <w:rFonts w:ascii="Times New Roman" w:hAnsi="Times New Roman" w:cs="Times New Roman"/>
          <w:sz w:val="25"/>
          <w:szCs w:val="25"/>
        </w:rPr>
        <w:t>. B.S. Chauhan, J.</w:t>
      </w:r>
    </w:p>
    <w:p w:rsidR="00940BA0" w:rsidRPr="00B924EC" w:rsidRDefault="00EB22DA">
      <w:pPr>
        <w:pStyle w:val="Bodytext0"/>
        <w:numPr>
          <w:ilvl w:val="0"/>
          <w:numId w:val="2"/>
        </w:numPr>
        <w:shd w:val="clear" w:color="auto" w:fill="auto"/>
        <w:spacing w:before="0"/>
        <w:ind w:left="20"/>
        <w:jc w:val="both"/>
        <w:rPr>
          <w:rFonts w:ascii="Times New Roman" w:hAnsi="Times New Roman" w:cs="Times New Roman"/>
          <w:sz w:val="25"/>
          <w:szCs w:val="25"/>
        </w:rPr>
      </w:pPr>
      <w:r w:rsidRPr="00B924EC">
        <w:rPr>
          <w:rFonts w:ascii="Times New Roman" w:hAnsi="Times New Roman" w:cs="Times New Roman"/>
          <w:sz w:val="25"/>
          <w:szCs w:val="25"/>
        </w:rPr>
        <w:t xml:space="preserve"> Leave granted.</w:t>
      </w:r>
    </w:p>
    <w:p w:rsidR="00940BA0" w:rsidRPr="00B924EC" w:rsidRDefault="00EB22DA">
      <w:pPr>
        <w:pStyle w:val="Bodytext0"/>
        <w:shd w:val="clear" w:color="auto" w:fill="auto"/>
        <w:spacing w:before="0" w:after="349" w:line="322" w:lineRule="exact"/>
        <w:ind w:left="20" w:right="40"/>
        <w:jc w:val="both"/>
        <w:rPr>
          <w:rFonts w:ascii="Times New Roman" w:hAnsi="Times New Roman" w:cs="Times New Roman"/>
          <w:sz w:val="25"/>
          <w:szCs w:val="25"/>
        </w:rPr>
      </w:pPr>
      <w:r w:rsidRPr="00B924EC">
        <w:rPr>
          <w:rFonts w:ascii="Times New Roman" w:hAnsi="Times New Roman" w:cs="Times New Roman"/>
          <w:sz w:val="25"/>
          <w:szCs w:val="25"/>
        </w:rPr>
        <w:t>This appeal has been preferred against the impugned judgment and order</w:t>
      </w:r>
      <w:r w:rsidRPr="00B924EC">
        <w:rPr>
          <w:rFonts w:ascii="Times New Roman" w:hAnsi="Times New Roman" w:cs="Times New Roman"/>
          <w:sz w:val="25"/>
          <w:szCs w:val="25"/>
        </w:rPr>
        <w:t xml:space="preserve"> dated 10.1.2011, passed by the High Court of Judicature at Madras in Writ Appeal No. 7 of 2011, by way of which, the Division Bench affirmed the judgment and order dated 17.2.2010, passed by the learned Single Judge in Writ Petition No.11152 of 2002, by w</w:t>
      </w:r>
      <w:r w:rsidRPr="00B924EC">
        <w:rPr>
          <w:rFonts w:ascii="Times New Roman" w:hAnsi="Times New Roman" w:cs="Times New Roman"/>
          <w:sz w:val="25"/>
          <w:szCs w:val="25"/>
        </w:rPr>
        <w:t>ay of which, the disciplinary proceedings initiated by the appellants against the respondent have been quashed.</w:t>
      </w:r>
    </w:p>
    <w:p w:rsidR="00940BA0" w:rsidRPr="00B924EC" w:rsidRDefault="00EB22DA">
      <w:pPr>
        <w:pStyle w:val="Bodytext0"/>
        <w:numPr>
          <w:ilvl w:val="0"/>
          <w:numId w:val="2"/>
        </w:numPr>
        <w:shd w:val="clear" w:color="auto" w:fill="auto"/>
        <w:spacing w:before="0" w:after="308" w:line="260" w:lineRule="exact"/>
        <w:ind w:left="20"/>
        <w:jc w:val="both"/>
        <w:rPr>
          <w:rFonts w:ascii="Times New Roman" w:hAnsi="Times New Roman" w:cs="Times New Roman"/>
          <w:sz w:val="25"/>
          <w:szCs w:val="25"/>
        </w:rPr>
      </w:pPr>
      <w:r w:rsidRPr="00B924EC">
        <w:rPr>
          <w:rFonts w:ascii="Times New Roman" w:hAnsi="Times New Roman" w:cs="Times New Roman"/>
          <w:sz w:val="25"/>
          <w:szCs w:val="25"/>
        </w:rPr>
        <w:t xml:space="preserve"> Facts and circumstances giving rise to this appeal are as under:</w:t>
      </w:r>
    </w:p>
    <w:p w:rsidR="00940BA0" w:rsidRPr="00B924EC" w:rsidRDefault="00EB22DA">
      <w:pPr>
        <w:pStyle w:val="Bodytext0"/>
        <w:numPr>
          <w:ilvl w:val="0"/>
          <w:numId w:val="3"/>
        </w:numPr>
        <w:shd w:val="clear" w:color="auto" w:fill="auto"/>
        <w:tabs>
          <w:tab w:val="left" w:pos="1145"/>
        </w:tabs>
        <w:spacing w:before="0" w:line="322" w:lineRule="exact"/>
        <w:ind w:left="740" w:right="40"/>
        <w:jc w:val="both"/>
        <w:rPr>
          <w:rFonts w:ascii="Times New Roman" w:hAnsi="Times New Roman" w:cs="Times New Roman"/>
          <w:sz w:val="25"/>
          <w:szCs w:val="25"/>
        </w:rPr>
        <w:sectPr w:rsidR="00940BA0" w:rsidRPr="00B924EC">
          <w:footerReference w:type="even" r:id="rId7"/>
          <w:footerReference w:type="default" r:id="rId8"/>
          <w:type w:val="continuous"/>
          <w:pgSz w:w="12240" w:h="15840"/>
          <w:pgMar w:top="1332" w:right="917" w:bottom="1624" w:left="1661" w:header="0" w:footer="3" w:gutter="0"/>
          <w:cols w:space="720"/>
          <w:noEndnote/>
          <w:docGrid w:linePitch="360"/>
        </w:sectPr>
      </w:pPr>
      <w:r w:rsidRPr="00B924EC">
        <w:rPr>
          <w:rFonts w:ascii="Times New Roman" w:hAnsi="Times New Roman" w:cs="Times New Roman"/>
          <w:sz w:val="25"/>
          <w:szCs w:val="25"/>
        </w:rPr>
        <w:t>The respondent was working with the appellant-Corporation as a Higher Grade Assistant at its Namakkal Branch. He had appli</w:t>
      </w:r>
      <w:r w:rsidRPr="00B924EC">
        <w:rPr>
          <w:rFonts w:ascii="Times New Roman" w:hAnsi="Times New Roman" w:cs="Times New Roman"/>
          <w:sz w:val="25"/>
          <w:szCs w:val="25"/>
        </w:rPr>
        <w:t>ed for, and obtained, a housing loan on 20.6.1991 from the India Housing Finance Development Ltd., Salem, for the purpose of construction of his house to the extent of 1095 sq.ft., and had also applied to the appellant- Corporation for a housing loan, unde</w:t>
      </w:r>
      <w:r w:rsidRPr="00B924EC">
        <w:rPr>
          <w:rFonts w:ascii="Times New Roman" w:hAnsi="Times New Roman" w:cs="Times New Roman"/>
          <w:sz w:val="25"/>
          <w:szCs w:val="25"/>
        </w:rPr>
        <w:t>r the Corporation’s Individual Employees Housing Scheme for the purpose of completing construction of the said house. An amount to the tune of Rs.1,30,000/- was outstanding, against the loan availed by the respondent from the India Housing Finance Developm</w:t>
      </w:r>
      <w:r w:rsidRPr="00B924EC">
        <w:rPr>
          <w:rFonts w:ascii="Times New Roman" w:hAnsi="Times New Roman" w:cs="Times New Roman"/>
          <w:sz w:val="25"/>
          <w:szCs w:val="25"/>
        </w:rPr>
        <w:t>ent Ltd., as also a sum of Rs.48,000/- required for completion of the said construction. The said loan</w:t>
      </w:r>
    </w:p>
    <w:p w:rsidR="00940BA0" w:rsidRPr="00B924EC" w:rsidRDefault="00EB22DA">
      <w:pPr>
        <w:pStyle w:val="Bodytext0"/>
        <w:shd w:val="clear" w:color="auto" w:fill="auto"/>
        <w:spacing w:before="0" w:after="300" w:line="322" w:lineRule="exact"/>
        <w:ind w:left="20" w:right="40"/>
        <w:jc w:val="both"/>
        <w:rPr>
          <w:rFonts w:ascii="Times New Roman" w:hAnsi="Times New Roman" w:cs="Times New Roman"/>
          <w:sz w:val="25"/>
          <w:szCs w:val="25"/>
        </w:rPr>
      </w:pPr>
      <w:r w:rsidRPr="00B924EC">
        <w:rPr>
          <w:rFonts w:ascii="Times New Roman" w:hAnsi="Times New Roman" w:cs="Times New Roman"/>
          <w:sz w:val="25"/>
          <w:szCs w:val="25"/>
        </w:rPr>
        <w:lastRenderedPageBreak/>
        <w:t>was sanctioned after completing all requisite formalities. However, it came to the notice of the appellant-Corporation that there had been certain irregu</w:t>
      </w:r>
      <w:r w:rsidRPr="00B924EC">
        <w:rPr>
          <w:rFonts w:ascii="Times New Roman" w:hAnsi="Times New Roman" w:cs="Times New Roman"/>
          <w:sz w:val="25"/>
          <w:szCs w:val="25"/>
        </w:rPr>
        <w:t>larities and deviations with respect to the construction of the said house, and that the loan had been obtained upon non- disclosure of facts in entirety. Thus, a charge sheet dated 6.1.1998 was issued to the respondent, for violating the provisions of Reg</w:t>
      </w:r>
      <w:r w:rsidRPr="00B924EC">
        <w:rPr>
          <w:rFonts w:ascii="Times New Roman" w:hAnsi="Times New Roman" w:cs="Times New Roman"/>
          <w:sz w:val="25"/>
          <w:szCs w:val="25"/>
        </w:rPr>
        <w:t>ulations 20, 21, 27 and 39(1) of the Life Insurance Corporation of India (Staff) Regulations, 1960 (hereinafter referred to as, the ‘Regulations 1960’).</w:t>
      </w:r>
    </w:p>
    <w:p w:rsidR="00940BA0" w:rsidRPr="00B924EC" w:rsidRDefault="00EB22DA">
      <w:pPr>
        <w:pStyle w:val="Bodytext0"/>
        <w:numPr>
          <w:ilvl w:val="0"/>
          <w:numId w:val="3"/>
        </w:numPr>
        <w:shd w:val="clear" w:color="auto" w:fill="auto"/>
        <w:spacing w:before="0" w:after="300" w:line="322" w:lineRule="exact"/>
        <w:ind w:left="20" w:right="40"/>
        <w:jc w:val="both"/>
        <w:rPr>
          <w:rFonts w:ascii="Times New Roman" w:hAnsi="Times New Roman" w:cs="Times New Roman"/>
          <w:sz w:val="25"/>
          <w:szCs w:val="25"/>
        </w:rPr>
      </w:pPr>
      <w:r w:rsidRPr="00B924EC">
        <w:rPr>
          <w:rFonts w:ascii="Times New Roman" w:hAnsi="Times New Roman" w:cs="Times New Roman"/>
          <w:sz w:val="25"/>
          <w:szCs w:val="25"/>
        </w:rPr>
        <w:t xml:space="preserve"> The respondent submitted his reply to the said charges, denying all of them, vide reply dated 30.1.1998. The Disciplinary Authority, however, was not satisfied with the explanation furnished by the respondent and therefore, proceeded to conduct an enquiry</w:t>
      </w:r>
      <w:r w:rsidRPr="00B924EC">
        <w:rPr>
          <w:rFonts w:ascii="Times New Roman" w:hAnsi="Times New Roman" w:cs="Times New Roman"/>
          <w:sz w:val="25"/>
          <w:szCs w:val="25"/>
        </w:rPr>
        <w:t>, in relation to which, the Enquiry Officer submitted enquiry report dated 27.1.1999. The Disciplinary Authority served upon the respondent, a copy of the said enquiry report, alongwith a show- cause notice dated 26.4.1999 giving him a period of 15 days to</w:t>
      </w:r>
      <w:r w:rsidRPr="00B924EC">
        <w:rPr>
          <w:rFonts w:ascii="Times New Roman" w:hAnsi="Times New Roman" w:cs="Times New Roman"/>
          <w:sz w:val="25"/>
          <w:szCs w:val="25"/>
        </w:rPr>
        <w:t xml:space="preserve"> reply, to which the respondent furnished his reply dated 17.5.1999.</w:t>
      </w:r>
    </w:p>
    <w:p w:rsidR="00940BA0" w:rsidRPr="00B924EC" w:rsidRDefault="00EB22DA">
      <w:pPr>
        <w:pStyle w:val="Bodytext0"/>
        <w:numPr>
          <w:ilvl w:val="0"/>
          <w:numId w:val="3"/>
        </w:numPr>
        <w:shd w:val="clear" w:color="auto" w:fill="auto"/>
        <w:spacing w:before="0" w:after="300" w:line="322" w:lineRule="exact"/>
        <w:ind w:left="20" w:right="40"/>
        <w:jc w:val="both"/>
        <w:rPr>
          <w:rFonts w:ascii="Times New Roman" w:hAnsi="Times New Roman" w:cs="Times New Roman"/>
          <w:sz w:val="25"/>
          <w:szCs w:val="25"/>
        </w:rPr>
      </w:pPr>
      <w:r w:rsidRPr="00B924EC">
        <w:rPr>
          <w:rFonts w:ascii="Times New Roman" w:hAnsi="Times New Roman" w:cs="Times New Roman"/>
          <w:sz w:val="25"/>
          <w:szCs w:val="25"/>
        </w:rPr>
        <w:t xml:space="preserve"> The Disciplinary Authority, after considering the reply and the enquiry report, imposed a penalty of reduction in the basic pay of the respondent, to the minimum amount specified in the </w:t>
      </w:r>
      <w:r w:rsidRPr="00B924EC">
        <w:rPr>
          <w:rFonts w:ascii="Times New Roman" w:hAnsi="Times New Roman" w:cs="Times New Roman"/>
          <w:sz w:val="25"/>
          <w:szCs w:val="25"/>
        </w:rPr>
        <w:t>time scale applicable to him, in terms of Regulation 39(1)(d) of the Regulations, 1960, as had been proposed by it in the aforementioned show cause notice, vide order dated 31.5.1999.</w:t>
      </w:r>
    </w:p>
    <w:p w:rsidR="00940BA0" w:rsidRPr="00B924EC" w:rsidRDefault="00EB22DA">
      <w:pPr>
        <w:pStyle w:val="Bodytext0"/>
        <w:numPr>
          <w:ilvl w:val="0"/>
          <w:numId w:val="3"/>
        </w:numPr>
        <w:shd w:val="clear" w:color="auto" w:fill="auto"/>
        <w:spacing w:before="0" w:line="322" w:lineRule="exact"/>
        <w:ind w:left="20" w:right="40"/>
        <w:jc w:val="both"/>
        <w:rPr>
          <w:rFonts w:ascii="Times New Roman" w:hAnsi="Times New Roman" w:cs="Times New Roman"/>
          <w:sz w:val="25"/>
          <w:szCs w:val="25"/>
        </w:rPr>
      </w:pPr>
      <w:r w:rsidRPr="00B924EC">
        <w:rPr>
          <w:rFonts w:ascii="Times New Roman" w:hAnsi="Times New Roman" w:cs="Times New Roman"/>
          <w:sz w:val="25"/>
          <w:szCs w:val="25"/>
        </w:rPr>
        <w:t xml:space="preserve"> Aggrieved, the respondent preferred an appeal under Regulation 40 of th</w:t>
      </w:r>
      <w:r w:rsidRPr="00B924EC">
        <w:rPr>
          <w:rFonts w:ascii="Times New Roman" w:hAnsi="Times New Roman" w:cs="Times New Roman"/>
          <w:sz w:val="25"/>
          <w:szCs w:val="25"/>
        </w:rPr>
        <w:t>e Regulations, 1960, which was dismissed by the Appellate Authority, vide order dated 11.4.2000. Thereafter, the respondent preferred a Memorial to the Chairman, Life Insurance Corporation of India, in Bombay, which was dismissed vide order dated 20.9.2001</w:t>
      </w:r>
      <w:r w:rsidRPr="00B924EC">
        <w:rPr>
          <w:rFonts w:ascii="Times New Roman" w:hAnsi="Times New Roman" w:cs="Times New Roman"/>
          <w:sz w:val="25"/>
          <w:szCs w:val="25"/>
        </w:rPr>
        <w:t xml:space="preserve">. E. Aggrieved, the respondent preferred a writ petition for the purpose of quashing of enquiry proceedings, the imposition of penalty, and also for re-imbursement of the amount that had been deducted from his salary, including all attendant benefits. The </w:t>
      </w:r>
      <w:r w:rsidRPr="00B924EC">
        <w:rPr>
          <w:rFonts w:ascii="Times New Roman" w:hAnsi="Times New Roman" w:cs="Times New Roman"/>
          <w:sz w:val="25"/>
          <w:szCs w:val="25"/>
        </w:rPr>
        <w:t>said writ petition was allowed by the learned Single Judge of the High Court, vide order dated 17.2.2010, observing that the witnesses to the case, in the process of Departmental Enquiry, had been examined in violation of the statutory rules applicable her</w:t>
      </w:r>
      <w:r w:rsidRPr="00B924EC">
        <w:rPr>
          <w:rFonts w:ascii="Times New Roman" w:hAnsi="Times New Roman" w:cs="Times New Roman"/>
          <w:sz w:val="25"/>
          <w:szCs w:val="25"/>
        </w:rPr>
        <w:t>ein, as well as in violation of the principles of natural justice. The delinquent was not accorded adequate opportunity to cross-examine the witnesses. The Appellate Authority also failed to consider whether the procedure followed by the Enquiry Officer, a</w:t>
      </w:r>
      <w:r w:rsidRPr="00B924EC">
        <w:rPr>
          <w:rFonts w:ascii="Times New Roman" w:hAnsi="Times New Roman" w:cs="Times New Roman"/>
          <w:sz w:val="25"/>
          <w:szCs w:val="25"/>
        </w:rPr>
        <w:t>s well as that</w:t>
      </w:r>
    </w:p>
    <w:p w:rsidR="00940BA0" w:rsidRPr="00B924EC" w:rsidRDefault="00EB22DA">
      <w:pPr>
        <w:pStyle w:val="Bodytext0"/>
        <w:shd w:val="clear" w:color="auto" w:fill="auto"/>
        <w:spacing w:before="0" w:after="300" w:line="322" w:lineRule="exact"/>
        <w:ind w:left="740" w:right="40"/>
        <w:jc w:val="both"/>
        <w:rPr>
          <w:rFonts w:ascii="Times New Roman" w:hAnsi="Times New Roman" w:cs="Times New Roman"/>
          <w:sz w:val="25"/>
          <w:szCs w:val="25"/>
        </w:rPr>
      </w:pPr>
      <w:r w:rsidRPr="00B924EC">
        <w:rPr>
          <w:rFonts w:ascii="Times New Roman" w:hAnsi="Times New Roman" w:cs="Times New Roman"/>
          <w:sz w:val="25"/>
          <w:szCs w:val="25"/>
        </w:rPr>
        <w:t>followed by the Disciplinary Authority, satisfied the requirements of Regulation 46(2)(a) of the Regulations, 1960. This is because, mere concurrence of the Appellate Authority, with the findings recorded by the Enquiry Officer, without prov</w:t>
      </w:r>
      <w:r w:rsidRPr="00B924EC">
        <w:rPr>
          <w:rFonts w:ascii="Times New Roman" w:hAnsi="Times New Roman" w:cs="Times New Roman"/>
          <w:sz w:val="25"/>
          <w:szCs w:val="25"/>
        </w:rPr>
        <w:t>ision of adequate reasoning, cannot be said to amount to adequate application of judicial mind by the Appellate Authority, for the purpose of imposing the said punishment.</w:t>
      </w:r>
    </w:p>
    <w:p w:rsidR="00940BA0" w:rsidRPr="00B924EC" w:rsidRDefault="00EB22DA">
      <w:pPr>
        <w:pStyle w:val="Bodytext0"/>
        <w:shd w:val="clear" w:color="auto" w:fill="auto"/>
        <w:spacing w:before="0" w:after="349" w:line="322" w:lineRule="exact"/>
        <w:ind w:left="740" w:right="40"/>
        <w:jc w:val="both"/>
        <w:rPr>
          <w:rFonts w:ascii="Times New Roman" w:hAnsi="Times New Roman" w:cs="Times New Roman"/>
          <w:sz w:val="25"/>
          <w:szCs w:val="25"/>
        </w:rPr>
      </w:pPr>
      <w:r w:rsidRPr="00B924EC">
        <w:rPr>
          <w:rFonts w:ascii="Times New Roman" w:hAnsi="Times New Roman" w:cs="Times New Roman"/>
          <w:sz w:val="25"/>
          <w:szCs w:val="25"/>
        </w:rPr>
        <w:t xml:space="preserve">F. Aggrieved, the appellant-Corporation filed an appeal, which was dismissed by the </w:t>
      </w:r>
      <w:r w:rsidRPr="00B924EC">
        <w:rPr>
          <w:rFonts w:ascii="Times New Roman" w:hAnsi="Times New Roman" w:cs="Times New Roman"/>
          <w:sz w:val="25"/>
          <w:szCs w:val="25"/>
        </w:rPr>
        <w:t>Division Bench.</w:t>
      </w:r>
    </w:p>
    <w:p w:rsidR="00940BA0" w:rsidRPr="00B924EC" w:rsidRDefault="00EB22DA">
      <w:pPr>
        <w:pStyle w:val="Bodytext0"/>
        <w:shd w:val="clear" w:color="auto" w:fill="auto"/>
        <w:spacing w:before="0" w:after="313" w:line="260" w:lineRule="exact"/>
        <w:ind w:left="20" w:firstLine="720"/>
        <w:jc w:val="both"/>
        <w:rPr>
          <w:rFonts w:ascii="Times New Roman" w:hAnsi="Times New Roman" w:cs="Times New Roman"/>
          <w:sz w:val="25"/>
          <w:szCs w:val="25"/>
        </w:rPr>
      </w:pPr>
      <w:r w:rsidRPr="00B924EC">
        <w:rPr>
          <w:rFonts w:ascii="Times New Roman" w:hAnsi="Times New Roman" w:cs="Times New Roman"/>
          <w:sz w:val="25"/>
          <w:szCs w:val="25"/>
        </w:rPr>
        <w:lastRenderedPageBreak/>
        <w:t>Hence, this appeal.</w:t>
      </w:r>
    </w:p>
    <w:p w:rsidR="00940BA0" w:rsidRPr="00B924EC" w:rsidRDefault="00EB22DA">
      <w:pPr>
        <w:pStyle w:val="Bodytext0"/>
        <w:numPr>
          <w:ilvl w:val="0"/>
          <w:numId w:val="2"/>
        </w:numPr>
        <w:shd w:val="clear" w:color="auto" w:fill="auto"/>
        <w:spacing w:before="0" w:after="300" w:line="322" w:lineRule="exact"/>
        <w:ind w:left="20" w:right="40"/>
        <w:jc w:val="both"/>
        <w:rPr>
          <w:rFonts w:ascii="Times New Roman" w:hAnsi="Times New Roman" w:cs="Times New Roman"/>
          <w:sz w:val="25"/>
          <w:szCs w:val="25"/>
        </w:rPr>
      </w:pPr>
      <w:r w:rsidRPr="00B924EC">
        <w:rPr>
          <w:rFonts w:ascii="Times New Roman" w:hAnsi="Times New Roman" w:cs="Times New Roman"/>
          <w:sz w:val="25"/>
          <w:szCs w:val="25"/>
        </w:rPr>
        <w:t xml:space="preserve"> Mr. Kailash Vasudev, learned senior counsel, alongwith Ms. Indra Sawhney, Adv. appearing for the appellants, has submitted that the High Court has exceeded its jurisdiction by quashing the disciplinary proceedings, as w</w:t>
      </w:r>
      <w:r w:rsidRPr="00B924EC">
        <w:rPr>
          <w:rFonts w:ascii="Times New Roman" w:hAnsi="Times New Roman" w:cs="Times New Roman"/>
          <w:sz w:val="25"/>
          <w:szCs w:val="25"/>
        </w:rPr>
        <w:t>ell as the punishment imposed, stating that the same does not fall within the scope of judicial review. Moreover, the decision to not remand the case for reconsideration at such a belated stage, could also not be justified. Therefore, the judgment and orde</w:t>
      </w:r>
      <w:r w:rsidRPr="00B924EC">
        <w:rPr>
          <w:rFonts w:ascii="Times New Roman" w:hAnsi="Times New Roman" w:cs="Times New Roman"/>
          <w:sz w:val="25"/>
          <w:szCs w:val="25"/>
        </w:rPr>
        <w:t>r of the High Court, are liable to be set aside.</w:t>
      </w:r>
    </w:p>
    <w:p w:rsidR="00940BA0" w:rsidRPr="00B924EC" w:rsidRDefault="00EB22DA">
      <w:pPr>
        <w:pStyle w:val="Bodytext0"/>
        <w:numPr>
          <w:ilvl w:val="0"/>
          <w:numId w:val="2"/>
        </w:numPr>
        <w:shd w:val="clear" w:color="auto" w:fill="auto"/>
        <w:spacing w:before="0" w:after="300" w:line="322" w:lineRule="exact"/>
        <w:ind w:left="20" w:right="40"/>
        <w:jc w:val="both"/>
        <w:rPr>
          <w:rFonts w:ascii="Times New Roman" w:hAnsi="Times New Roman" w:cs="Times New Roman"/>
          <w:sz w:val="25"/>
          <w:szCs w:val="25"/>
        </w:rPr>
      </w:pPr>
      <w:r w:rsidRPr="00B924EC">
        <w:rPr>
          <w:rFonts w:ascii="Times New Roman" w:hAnsi="Times New Roman" w:cs="Times New Roman"/>
          <w:sz w:val="25"/>
          <w:szCs w:val="25"/>
        </w:rPr>
        <w:t xml:space="preserve"> Per contra, Mr. V. Ramasubramanian, learned counsel appearing for the respondent, has opposed the appeal, contending that the High Court had taken note of every fact, and if after doing so, the court had co</w:t>
      </w:r>
      <w:r w:rsidRPr="00B924EC">
        <w:rPr>
          <w:rFonts w:ascii="Times New Roman" w:hAnsi="Times New Roman" w:cs="Times New Roman"/>
          <w:sz w:val="25"/>
          <w:szCs w:val="25"/>
        </w:rPr>
        <w:t>me to the conclusion that the said disciplinary proceedings, had in fact, been conducted in violation of the principles of natural justice and applicable statutory rules, then no interference is warranted. The fact that the appellant was refused an opportu</w:t>
      </w:r>
      <w:r w:rsidRPr="00B924EC">
        <w:rPr>
          <w:rFonts w:ascii="Times New Roman" w:hAnsi="Times New Roman" w:cs="Times New Roman"/>
          <w:sz w:val="25"/>
          <w:szCs w:val="25"/>
        </w:rPr>
        <w:t>nity, to complete the said enquiry de novo, on the ground of delay, is fully justified in law. Thus, no interference is called for, and the said appeal is liable to be dismissed.</w:t>
      </w:r>
    </w:p>
    <w:p w:rsidR="00940BA0" w:rsidRPr="00B924EC" w:rsidRDefault="00EB22DA">
      <w:pPr>
        <w:pStyle w:val="Bodytext0"/>
        <w:numPr>
          <w:ilvl w:val="0"/>
          <w:numId w:val="2"/>
        </w:numPr>
        <w:shd w:val="clear" w:color="auto" w:fill="auto"/>
        <w:spacing w:before="0" w:after="293" w:line="322" w:lineRule="exact"/>
        <w:ind w:left="20" w:right="40"/>
        <w:jc w:val="both"/>
        <w:rPr>
          <w:rFonts w:ascii="Times New Roman" w:hAnsi="Times New Roman" w:cs="Times New Roman"/>
          <w:sz w:val="25"/>
          <w:szCs w:val="25"/>
        </w:rPr>
      </w:pPr>
      <w:r w:rsidRPr="00B924EC">
        <w:rPr>
          <w:rFonts w:ascii="Times New Roman" w:hAnsi="Times New Roman" w:cs="Times New Roman"/>
          <w:sz w:val="25"/>
          <w:szCs w:val="25"/>
        </w:rPr>
        <w:t xml:space="preserve"> We have considered the rival submissions made by the learned counsel for the parties, and perused the record. It may be pertinent to refer to the relevant statutory provisions involved herein:</w:t>
      </w:r>
    </w:p>
    <w:p w:rsidR="00940BA0" w:rsidRPr="00B924EC" w:rsidRDefault="00EB22DA">
      <w:pPr>
        <w:pStyle w:val="Bodytext0"/>
        <w:shd w:val="clear" w:color="auto" w:fill="auto"/>
        <w:tabs>
          <w:tab w:val="right" w:pos="5809"/>
          <w:tab w:val="right" w:pos="9375"/>
        </w:tabs>
        <w:spacing w:before="0" w:line="331" w:lineRule="exact"/>
        <w:ind w:left="20" w:right="40" w:firstLine="720"/>
        <w:jc w:val="both"/>
        <w:rPr>
          <w:rFonts w:ascii="Times New Roman" w:hAnsi="Times New Roman" w:cs="Times New Roman"/>
          <w:sz w:val="25"/>
          <w:szCs w:val="25"/>
        </w:rPr>
      </w:pPr>
      <w:r w:rsidRPr="00B924EC">
        <w:rPr>
          <w:rFonts w:ascii="Times New Roman" w:hAnsi="Times New Roman" w:cs="Times New Roman"/>
          <w:sz w:val="25"/>
          <w:szCs w:val="25"/>
        </w:rPr>
        <w:t>Regulation 39(1) of the Regulations 1960 reads as under: “39(1</w:t>
      </w:r>
      <w:r w:rsidRPr="00B924EC">
        <w:rPr>
          <w:rFonts w:ascii="Times New Roman" w:hAnsi="Times New Roman" w:cs="Times New Roman"/>
          <w:sz w:val="25"/>
          <w:szCs w:val="25"/>
        </w:rPr>
        <w:t>). Without prejudice to the provisions of other regulations, (any one or more of) “the following penalties for good and sufficient reasons, and as hereinafter provided, be imposed (by the disciplinary authority specified in Schedule-I)” on the employee who</w:t>
      </w:r>
      <w:r w:rsidRPr="00B924EC">
        <w:rPr>
          <w:rFonts w:ascii="Times New Roman" w:hAnsi="Times New Roman" w:cs="Times New Roman"/>
          <w:sz w:val="25"/>
          <w:szCs w:val="25"/>
        </w:rPr>
        <w:t xml:space="preserve"> commits a breach of regulations of the Corporation, or who display negligence, inefficiency or indolence or who knowingly does </w:t>
      </w:r>
      <w:r w:rsidRPr="00B924EC">
        <w:rPr>
          <w:rStyle w:val="Bodytext11pt"/>
          <w:rFonts w:ascii="Times New Roman" w:hAnsi="Times New Roman" w:cs="Times New Roman"/>
          <w:sz w:val="25"/>
          <w:szCs w:val="25"/>
        </w:rPr>
        <w:t>Law Information Center</w:t>
      </w:r>
      <w:r w:rsidRPr="00B924EC">
        <w:rPr>
          <w:rStyle w:val="Bodytext11pt"/>
          <w:rFonts w:ascii="Times New Roman" w:hAnsi="Times New Roman" w:cs="Times New Roman"/>
          <w:sz w:val="25"/>
          <w:szCs w:val="25"/>
        </w:rPr>
        <w:tab/>
        <w:t>3</w:t>
      </w:r>
      <w:r w:rsidRPr="00B924EC">
        <w:rPr>
          <w:rStyle w:val="Bodytext11pt"/>
          <w:rFonts w:ascii="Times New Roman" w:hAnsi="Times New Roman" w:cs="Times New Roman"/>
          <w:sz w:val="25"/>
          <w:szCs w:val="25"/>
        </w:rPr>
        <w:tab/>
        <w:t>SpotLaw</w:t>
      </w:r>
    </w:p>
    <w:p w:rsidR="00940BA0" w:rsidRPr="00B924EC" w:rsidRDefault="00EB22DA">
      <w:pPr>
        <w:pStyle w:val="Bodytext0"/>
        <w:shd w:val="clear" w:color="auto" w:fill="auto"/>
        <w:spacing w:before="0" w:after="349" w:line="322" w:lineRule="exact"/>
        <w:ind w:left="720" w:right="40"/>
        <w:jc w:val="both"/>
        <w:rPr>
          <w:rFonts w:ascii="Times New Roman" w:hAnsi="Times New Roman" w:cs="Times New Roman"/>
          <w:sz w:val="25"/>
          <w:szCs w:val="25"/>
        </w:rPr>
      </w:pPr>
      <w:r w:rsidRPr="00B924EC">
        <w:rPr>
          <w:rFonts w:ascii="Times New Roman" w:hAnsi="Times New Roman" w:cs="Times New Roman"/>
          <w:sz w:val="25"/>
          <w:szCs w:val="25"/>
        </w:rPr>
        <w:t>anything detrimental to the interest of the Corporation, or conflicting with the instructions o</w:t>
      </w:r>
      <w:r w:rsidRPr="00B924EC">
        <w:rPr>
          <w:rFonts w:ascii="Times New Roman" w:hAnsi="Times New Roman" w:cs="Times New Roman"/>
          <w:sz w:val="25"/>
          <w:szCs w:val="25"/>
        </w:rPr>
        <w:t>r who commits a breach of discipline, or is guilty of any other act prejudicial to good conduct -</w:t>
      </w:r>
    </w:p>
    <w:p w:rsidR="00940BA0" w:rsidRPr="00B924EC" w:rsidRDefault="00EB22DA">
      <w:pPr>
        <w:pStyle w:val="Bodytext0"/>
        <w:shd w:val="clear" w:color="auto" w:fill="auto"/>
        <w:tabs>
          <w:tab w:val="left" w:leader="dot" w:pos="2262"/>
        </w:tabs>
        <w:spacing w:before="0" w:after="275" w:line="260" w:lineRule="exact"/>
        <w:ind w:left="720"/>
        <w:jc w:val="both"/>
        <w:rPr>
          <w:rFonts w:ascii="Times New Roman" w:hAnsi="Times New Roman" w:cs="Times New Roman"/>
          <w:sz w:val="25"/>
          <w:szCs w:val="25"/>
        </w:rPr>
      </w:pPr>
      <w:r w:rsidRPr="00B924EC">
        <w:rPr>
          <w:rFonts w:ascii="Times New Roman" w:hAnsi="Times New Roman" w:cs="Times New Roman"/>
          <w:sz w:val="25"/>
          <w:szCs w:val="25"/>
        </w:rPr>
        <w:t>(</w:t>
      </w:r>
      <w:r w:rsidRPr="00B924EC">
        <w:rPr>
          <w:rFonts w:ascii="Times New Roman" w:hAnsi="Times New Roman" w:cs="Times New Roman"/>
          <w:sz w:val="25"/>
          <w:szCs w:val="25"/>
          <w:vertAlign w:val="superscript"/>
        </w:rPr>
        <w:t>a</w:t>
      </w:r>
      <w:r w:rsidRPr="00B924EC">
        <w:rPr>
          <w:rFonts w:ascii="Times New Roman" w:hAnsi="Times New Roman" w:cs="Times New Roman"/>
          <w:sz w:val="25"/>
          <w:szCs w:val="25"/>
        </w:rPr>
        <w:t>)</w:t>
      </w:r>
      <w:r w:rsidRPr="00B924EC">
        <w:rPr>
          <w:rFonts w:ascii="Times New Roman" w:hAnsi="Times New Roman" w:cs="Times New Roman"/>
          <w:sz w:val="25"/>
          <w:szCs w:val="25"/>
        </w:rPr>
        <w:tab/>
      </w:r>
    </w:p>
    <w:p w:rsidR="00940BA0" w:rsidRPr="00B924EC" w:rsidRDefault="00EB22DA">
      <w:pPr>
        <w:pStyle w:val="Bodytext0"/>
        <w:numPr>
          <w:ilvl w:val="0"/>
          <w:numId w:val="4"/>
        </w:numPr>
        <w:shd w:val="clear" w:color="auto" w:fill="auto"/>
        <w:tabs>
          <w:tab w:val="left" w:leader="dot" w:pos="2262"/>
        </w:tabs>
        <w:spacing w:before="0" w:after="419" w:line="260" w:lineRule="exact"/>
        <w:ind w:left="720"/>
        <w:jc w:val="both"/>
        <w:rPr>
          <w:rFonts w:ascii="Times New Roman" w:hAnsi="Times New Roman" w:cs="Times New Roman"/>
          <w:sz w:val="25"/>
          <w:szCs w:val="25"/>
        </w:rPr>
      </w:pPr>
      <w:r w:rsidRPr="00B924EC">
        <w:rPr>
          <w:rFonts w:ascii="Times New Roman" w:hAnsi="Times New Roman" w:cs="Times New Roman"/>
          <w:sz w:val="25"/>
          <w:szCs w:val="25"/>
        </w:rPr>
        <w:t xml:space="preserve"> </w:t>
      </w:r>
      <w:r w:rsidRPr="00B924EC">
        <w:rPr>
          <w:rFonts w:ascii="Times New Roman" w:hAnsi="Times New Roman" w:cs="Times New Roman"/>
          <w:sz w:val="25"/>
          <w:szCs w:val="25"/>
        </w:rPr>
        <w:t>)</w:t>
      </w:r>
      <w:r w:rsidRPr="00B924EC">
        <w:rPr>
          <w:rFonts w:ascii="Times New Roman" w:hAnsi="Times New Roman" w:cs="Times New Roman"/>
          <w:sz w:val="25"/>
          <w:szCs w:val="25"/>
        </w:rPr>
        <w:tab/>
      </w:r>
    </w:p>
    <w:p w:rsidR="00940BA0" w:rsidRPr="00B924EC" w:rsidRDefault="00EB22DA">
      <w:pPr>
        <w:pStyle w:val="Bodytext0"/>
        <w:numPr>
          <w:ilvl w:val="0"/>
          <w:numId w:val="4"/>
        </w:numPr>
        <w:shd w:val="clear" w:color="auto" w:fill="auto"/>
        <w:tabs>
          <w:tab w:val="left" w:leader="dot" w:pos="2262"/>
        </w:tabs>
        <w:spacing w:before="0" w:after="193" w:line="260" w:lineRule="exact"/>
        <w:ind w:left="720"/>
        <w:jc w:val="both"/>
        <w:rPr>
          <w:rFonts w:ascii="Times New Roman" w:hAnsi="Times New Roman" w:cs="Times New Roman"/>
          <w:sz w:val="25"/>
          <w:szCs w:val="25"/>
        </w:rPr>
      </w:pPr>
      <w:r w:rsidRPr="00B924EC">
        <w:rPr>
          <w:rFonts w:ascii="Times New Roman" w:hAnsi="Times New Roman" w:cs="Times New Roman"/>
          <w:sz w:val="25"/>
          <w:szCs w:val="25"/>
        </w:rPr>
        <w:t xml:space="preserve"> </w:t>
      </w:r>
      <w:r w:rsidRPr="00B924EC">
        <w:rPr>
          <w:rFonts w:ascii="Times New Roman" w:hAnsi="Times New Roman" w:cs="Times New Roman"/>
          <w:sz w:val="25"/>
          <w:szCs w:val="25"/>
          <w:vertAlign w:val="superscript"/>
        </w:rPr>
        <w:t>)</w:t>
      </w:r>
      <w:r w:rsidRPr="00B924EC">
        <w:rPr>
          <w:rFonts w:ascii="Times New Roman" w:hAnsi="Times New Roman" w:cs="Times New Roman"/>
          <w:sz w:val="25"/>
          <w:szCs w:val="25"/>
        </w:rPr>
        <w:tab/>
      </w:r>
    </w:p>
    <w:p w:rsidR="00940BA0" w:rsidRPr="00B924EC" w:rsidRDefault="00EB22DA">
      <w:pPr>
        <w:pStyle w:val="Bodytext0"/>
        <w:shd w:val="clear" w:color="auto" w:fill="auto"/>
        <w:spacing w:before="0" w:after="300" w:line="322" w:lineRule="exact"/>
        <w:ind w:left="720" w:right="40"/>
        <w:jc w:val="both"/>
        <w:rPr>
          <w:rFonts w:ascii="Times New Roman" w:hAnsi="Times New Roman" w:cs="Times New Roman"/>
          <w:sz w:val="25"/>
          <w:szCs w:val="25"/>
        </w:rPr>
      </w:pPr>
      <w:r w:rsidRPr="00B924EC">
        <w:rPr>
          <w:rFonts w:ascii="Times New Roman" w:hAnsi="Times New Roman" w:cs="Times New Roman"/>
          <w:sz w:val="25"/>
          <w:szCs w:val="25"/>
        </w:rPr>
        <w:t>(d) reduction to a lower service, or post, or to a lower time scale, or to a lower stage in a time-scale.”</w:t>
      </w:r>
    </w:p>
    <w:p w:rsidR="00940BA0" w:rsidRPr="00B924EC" w:rsidRDefault="00EB22DA">
      <w:pPr>
        <w:pStyle w:val="Bodytext0"/>
        <w:shd w:val="clear" w:color="auto" w:fill="auto"/>
        <w:spacing w:before="0" w:after="300" w:line="322" w:lineRule="exact"/>
        <w:ind w:left="720" w:right="40"/>
        <w:jc w:val="both"/>
        <w:rPr>
          <w:rFonts w:ascii="Times New Roman" w:hAnsi="Times New Roman" w:cs="Times New Roman"/>
          <w:sz w:val="25"/>
          <w:szCs w:val="25"/>
        </w:rPr>
      </w:pPr>
      <w:r w:rsidRPr="00B924EC">
        <w:rPr>
          <w:rFonts w:ascii="Times New Roman" w:hAnsi="Times New Roman" w:cs="Times New Roman"/>
          <w:sz w:val="25"/>
          <w:szCs w:val="25"/>
        </w:rPr>
        <w:t xml:space="preserve">Regulation 46(2) of the Regulations </w:t>
      </w:r>
      <w:r w:rsidRPr="00B924EC">
        <w:rPr>
          <w:rFonts w:ascii="Times New Roman" w:hAnsi="Times New Roman" w:cs="Times New Roman"/>
          <w:sz w:val="25"/>
          <w:szCs w:val="25"/>
        </w:rPr>
        <w:t xml:space="preserve">1960 read as under: “In case of an appeal against </w:t>
      </w:r>
      <w:r w:rsidRPr="00B924EC">
        <w:rPr>
          <w:rFonts w:ascii="Times New Roman" w:hAnsi="Times New Roman" w:cs="Times New Roman"/>
          <w:sz w:val="25"/>
          <w:szCs w:val="25"/>
        </w:rPr>
        <w:lastRenderedPageBreak/>
        <w:t>the order imposing any of the penalties specified in Regulation 39, the appellate authority shall consider-</w:t>
      </w:r>
    </w:p>
    <w:p w:rsidR="00940BA0" w:rsidRPr="00B924EC" w:rsidRDefault="00EB22DA">
      <w:pPr>
        <w:pStyle w:val="Bodytext0"/>
        <w:numPr>
          <w:ilvl w:val="0"/>
          <w:numId w:val="5"/>
        </w:numPr>
        <w:shd w:val="clear" w:color="auto" w:fill="auto"/>
        <w:spacing w:before="0" w:after="349" w:line="322" w:lineRule="exact"/>
        <w:ind w:left="720" w:right="40"/>
        <w:jc w:val="both"/>
        <w:rPr>
          <w:rFonts w:ascii="Times New Roman" w:hAnsi="Times New Roman" w:cs="Times New Roman"/>
          <w:sz w:val="25"/>
          <w:szCs w:val="25"/>
        </w:rPr>
      </w:pPr>
      <w:r w:rsidRPr="00B924EC">
        <w:rPr>
          <w:rFonts w:ascii="Times New Roman" w:hAnsi="Times New Roman" w:cs="Times New Roman"/>
          <w:sz w:val="25"/>
          <w:szCs w:val="25"/>
        </w:rPr>
        <w:t xml:space="preserve"> Whether the procedure prescribed in these Regulations has been complied with, and if not, whether</w:t>
      </w:r>
      <w:r w:rsidRPr="00B924EC">
        <w:rPr>
          <w:rFonts w:ascii="Times New Roman" w:hAnsi="Times New Roman" w:cs="Times New Roman"/>
          <w:sz w:val="25"/>
          <w:szCs w:val="25"/>
        </w:rPr>
        <w:t xml:space="preserve"> such non-compliance has resulted in failure of justice;</w:t>
      </w:r>
    </w:p>
    <w:p w:rsidR="00940BA0" w:rsidRPr="00B924EC" w:rsidRDefault="00EB22DA">
      <w:pPr>
        <w:pStyle w:val="Bodytext0"/>
        <w:numPr>
          <w:ilvl w:val="0"/>
          <w:numId w:val="5"/>
        </w:numPr>
        <w:shd w:val="clear" w:color="auto" w:fill="auto"/>
        <w:spacing w:before="0" w:after="313" w:line="260" w:lineRule="exact"/>
        <w:ind w:left="720"/>
        <w:jc w:val="both"/>
        <w:rPr>
          <w:rFonts w:ascii="Times New Roman" w:hAnsi="Times New Roman" w:cs="Times New Roman"/>
          <w:sz w:val="25"/>
          <w:szCs w:val="25"/>
        </w:rPr>
      </w:pPr>
      <w:r w:rsidRPr="00B924EC">
        <w:rPr>
          <w:rFonts w:ascii="Times New Roman" w:hAnsi="Times New Roman" w:cs="Times New Roman"/>
          <w:sz w:val="25"/>
          <w:szCs w:val="25"/>
        </w:rPr>
        <w:t xml:space="preserve"> Whether the findings are justified; and</w:t>
      </w:r>
    </w:p>
    <w:p w:rsidR="00940BA0" w:rsidRPr="00B924EC" w:rsidRDefault="00EB22DA">
      <w:pPr>
        <w:pStyle w:val="Bodytext0"/>
        <w:numPr>
          <w:ilvl w:val="0"/>
          <w:numId w:val="5"/>
        </w:numPr>
        <w:shd w:val="clear" w:color="auto" w:fill="auto"/>
        <w:tabs>
          <w:tab w:val="left" w:leader="dot" w:pos="2549"/>
        </w:tabs>
        <w:spacing w:before="0" w:after="349" w:line="322" w:lineRule="exact"/>
        <w:ind w:left="720" w:right="40"/>
        <w:jc w:val="both"/>
        <w:rPr>
          <w:rFonts w:ascii="Times New Roman" w:hAnsi="Times New Roman" w:cs="Times New Roman"/>
          <w:sz w:val="25"/>
          <w:szCs w:val="25"/>
        </w:rPr>
      </w:pPr>
      <w:r w:rsidRPr="00B924EC">
        <w:rPr>
          <w:rFonts w:ascii="Times New Roman" w:hAnsi="Times New Roman" w:cs="Times New Roman"/>
          <w:sz w:val="25"/>
          <w:szCs w:val="25"/>
        </w:rPr>
        <w:t xml:space="preserve"> Whether the penalty imposed is excessive, adequate or inadequate, and pass orders</w:t>
      </w:r>
      <w:r w:rsidRPr="00B924EC">
        <w:rPr>
          <w:rFonts w:ascii="Times New Roman" w:hAnsi="Times New Roman" w:cs="Times New Roman"/>
          <w:sz w:val="25"/>
          <w:szCs w:val="25"/>
        </w:rPr>
        <w:tab/>
      </w:r>
    </w:p>
    <w:p w:rsidR="00940BA0" w:rsidRPr="00B924EC" w:rsidRDefault="00EB22DA">
      <w:pPr>
        <w:pStyle w:val="Bodytext0"/>
        <w:shd w:val="clear" w:color="auto" w:fill="auto"/>
        <w:spacing w:before="0" w:after="362" w:line="260" w:lineRule="exact"/>
        <w:ind w:left="720"/>
        <w:jc w:val="both"/>
        <w:rPr>
          <w:rFonts w:ascii="Times New Roman" w:hAnsi="Times New Roman" w:cs="Times New Roman"/>
          <w:sz w:val="25"/>
          <w:szCs w:val="25"/>
        </w:rPr>
      </w:pPr>
      <w:r w:rsidRPr="00B924EC">
        <w:rPr>
          <w:rFonts w:ascii="Times New Roman" w:hAnsi="Times New Roman" w:cs="Times New Roman"/>
          <w:sz w:val="25"/>
          <w:szCs w:val="25"/>
        </w:rPr>
        <w:t>xxxx xxxxxxxx ”</w:t>
      </w:r>
    </w:p>
    <w:p w:rsidR="00940BA0" w:rsidRPr="00B924EC" w:rsidRDefault="00EB22DA">
      <w:pPr>
        <w:pStyle w:val="Bodytext0"/>
        <w:numPr>
          <w:ilvl w:val="0"/>
          <w:numId w:val="2"/>
        </w:numPr>
        <w:shd w:val="clear" w:color="auto" w:fill="auto"/>
        <w:tabs>
          <w:tab w:val="left" w:pos="378"/>
        </w:tabs>
        <w:spacing w:before="0" w:after="308" w:line="260" w:lineRule="exact"/>
        <w:jc w:val="both"/>
        <w:rPr>
          <w:rFonts w:ascii="Times New Roman" w:hAnsi="Times New Roman" w:cs="Times New Roman"/>
          <w:sz w:val="25"/>
          <w:szCs w:val="25"/>
        </w:rPr>
      </w:pPr>
      <w:r w:rsidRPr="00B924EC">
        <w:rPr>
          <w:rFonts w:ascii="Times New Roman" w:hAnsi="Times New Roman" w:cs="Times New Roman"/>
          <w:sz w:val="25"/>
          <w:szCs w:val="25"/>
        </w:rPr>
        <w:t>The charges framed against the respondent are as under:</w:t>
      </w:r>
    </w:p>
    <w:p w:rsidR="00940BA0" w:rsidRPr="00B924EC" w:rsidRDefault="00EB22DA">
      <w:pPr>
        <w:pStyle w:val="Bodytext0"/>
        <w:numPr>
          <w:ilvl w:val="0"/>
          <w:numId w:val="6"/>
        </w:numPr>
        <w:shd w:val="clear" w:color="auto" w:fill="auto"/>
        <w:spacing w:before="0" w:after="349" w:line="322" w:lineRule="exact"/>
        <w:ind w:left="720" w:right="40"/>
        <w:jc w:val="both"/>
        <w:rPr>
          <w:rFonts w:ascii="Times New Roman" w:hAnsi="Times New Roman" w:cs="Times New Roman"/>
          <w:sz w:val="25"/>
          <w:szCs w:val="25"/>
        </w:rPr>
      </w:pPr>
      <w:r w:rsidRPr="00B924EC">
        <w:rPr>
          <w:rFonts w:ascii="Times New Roman" w:hAnsi="Times New Roman" w:cs="Times New Roman"/>
          <w:sz w:val="25"/>
          <w:szCs w:val="25"/>
        </w:rPr>
        <w:t xml:space="preserve"> That in your letter dated 13.5.1994 requesting for release of Rs.26,000/- as second instalment of housing loan under M.L. No. 7803003 you had willfully omitted to bring to the notice of the Corporation that you had constructed the rear side of the house (</w:t>
      </w:r>
      <w:r w:rsidRPr="00B924EC">
        <w:rPr>
          <w:rFonts w:ascii="Times New Roman" w:hAnsi="Times New Roman" w:cs="Times New Roman"/>
          <w:sz w:val="25"/>
          <w:szCs w:val="25"/>
        </w:rPr>
        <w:t>comprising of kitchen, store, toilet and reading room) measuring 385 sq.ft.</w:t>
      </w:r>
    </w:p>
    <w:p w:rsidR="00940BA0" w:rsidRPr="00B924EC" w:rsidRDefault="00EB22DA">
      <w:pPr>
        <w:pStyle w:val="Bodytext0"/>
        <w:numPr>
          <w:ilvl w:val="0"/>
          <w:numId w:val="6"/>
        </w:numPr>
        <w:shd w:val="clear" w:color="auto" w:fill="auto"/>
        <w:spacing w:before="0" w:line="260" w:lineRule="exact"/>
        <w:ind w:left="720"/>
        <w:jc w:val="both"/>
        <w:rPr>
          <w:rFonts w:ascii="Times New Roman" w:hAnsi="Times New Roman" w:cs="Times New Roman"/>
          <w:sz w:val="25"/>
          <w:szCs w:val="25"/>
        </w:rPr>
      </w:pPr>
      <w:r w:rsidRPr="00B924EC">
        <w:rPr>
          <w:rFonts w:ascii="Times New Roman" w:hAnsi="Times New Roman" w:cs="Times New Roman"/>
          <w:sz w:val="25"/>
          <w:szCs w:val="25"/>
        </w:rPr>
        <w:t xml:space="preserve"> That your above action tantamounts to breach of agreement.</w:t>
      </w:r>
    </w:p>
    <w:p w:rsidR="00940BA0" w:rsidRPr="00B924EC" w:rsidRDefault="00EB22DA">
      <w:pPr>
        <w:pStyle w:val="Bodytext0"/>
        <w:numPr>
          <w:ilvl w:val="0"/>
          <w:numId w:val="6"/>
        </w:numPr>
        <w:shd w:val="clear" w:color="auto" w:fill="auto"/>
        <w:spacing w:before="0" w:after="300" w:line="322" w:lineRule="exact"/>
        <w:ind w:left="740" w:right="300"/>
        <w:jc w:val="both"/>
        <w:rPr>
          <w:rFonts w:ascii="Times New Roman" w:hAnsi="Times New Roman" w:cs="Times New Roman"/>
          <w:sz w:val="25"/>
          <w:szCs w:val="25"/>
        </w:rPr>
      </w:pPr>
      <w:r w:rsidRPr="00B924EC">
        <w:rPr>
          <w:rFonts w:ascii="Times New Roman" w:hAnsi="Times New Roman" w:cs="Times New Roman"/>
          <w:sz w:val="25"/>
          <w:szCs w:val="25"/>
        </w:rPr>
        <w:t xml:space="preserve"> That you submitted a letter dated 20.6.1994 giving false information that you had completed the house in all aspects wh</w:t>
      </w:r>
      <w:r w:rsidRPr="00B924EC">
        <w:rPr>
          <w:rFonts w:ascii="Times New Roman" w:hAnsi="Times New Roman" w:cs="Times New Roman"/>
          <w:sz w:val="25"/>
          <w:szCs w:val="25"/>
        </w:rPr>
        <w:t>ereas by your letters dated 10.11.94 and 29.11.94 you had informed us that the rear side of the house was not constructed. It was found that even as on 2.9.1997 the work to complete the construction was not commenced.</w:t>
      </w:r>
    </w:p>
    <w:p w:rsidR="00940BA0" w:rsidRPr="00B924EC" w:rsidRDefault="00EB22DA">
      <w:pPr>
        <w:pStyle w:val="Bodytext0"/>
        <w:numPr>
          <w:ilvl w:val="0"/>
          <w:numId w:val="6"/>
        </w:numPr>
        <w:shd w:val="clear" w:color="auto" w:fill="auto"/>
        <w:spacing w:before="0" w:after="300" w:line="322" w:lineRule="exact"/>
        <w:ind w:left="740" w:right="300"/>
        <w:jc w:val="both"/>
        <w:rPr>
          <w:rFonts w:ascii="Times New Roman" w:hAnsi="Times New Roman" w:cs="Times New Roman"/>
          <w:sz w:val="25"/>
          <w:szCs w:val="25"/>
        </w:rPr>
      </w:pPr>
      <w:r w:rsidRPr="00B924EC">
        <w:rPr>
          <w:rFonts w:ascii="Times New Roman" w:hAnsi="Times New Roman" w:cs="Times New Roman"/>
          <w:sz w:val="25"/>
          <w:szCs w:val="25"/>
        </w:rPr>
        <w:t xml:space="preserve"> That you had drawn housing loan in ex</w:t>
      </w:r>
      <w:r w:rsidRPr="00B924EC">
        <w:rPr>
          <w:rFonts w:ascii="Times New Roman" w:hAnsi="Times New Roman" w:cs="Times New Roman"/>
          <w:sz w:val="25"/>
          <w:szCs w:val="25"/>
        </w:rPr>
        <w:t>cess by giving false statement as mentioned above.</w:t>
      </w:r>
    </w:p>
    <w:p w:rsidR="00940BA0" w:rsidRPr="00B924EC" w:rsidRDefault="00EB22DA">
      <w:pPr>
        <w:pStyle w:val="Bodytext0"/>
        <w:numPr>
          <w:ilvl w:val="0"/>
          <w:numId w:val="6"/>
        </w:numPr>
        <w:shd w:val="clear" w:color="auto" w:fill="auto"/>
        <w:spacing w:before="0" w:after="300" w:line="322" w:lineRule="exact"/>
        <w:ind w:left="740" w:right="300"/>
        <w:jc w:val="both"/>
        <w:rPr>
          <w:rFonts w:ascii="Times New Roman" w:hAnsi="Times New Roman" w:cs="Times New Roman"/>
          <w:sz w:val="25"/>
          <w:szCs w:val="25"/>
        </w:rPr>
      </w:pPr>
      <w:r w:rsidRPr="00B924EC">
        <w:rPr>
          <w:rFonts w:ascii="Times New Roman" w:hAnsi="Times New Roman" w:cs="Times New Roman"/>
          <w:sz w:val="25"/>
          <w:szCs w:val="25"/>
        </w:rPr>
        <w:t xml:space="preserve"> That you are putting the premises to commercial use without the knowledge and approval of the Corporation.</w:t>
      </w:r>
    </w:p>
    <w:p w:rsidR="00940BA0" w:rsidRPr="00B924EC" w:rsidRDefault="00EB22DA">
      <w:pPr>
        <w:pStyle w:val="Bodytext0"/>
        <w:numPr>
          <w:ilvl w:val="0"/>
          <w:numId w:val="6"/>
        </w:numPr>
        <w:shd w:val="clear" w:color="auto" w:fill="auto"/>
        <w:spacing w:before="0" w:after="300" w:line="322" w:lineRule="exact"/>
        <w:ind w:left="740" w:right="300"/>
        <w:jc w:val="both"/>
        <w:rPr>
          <w:rFonts w:ascii="Times New Roman" w:hAnsi="Times New Roman" w:cs="Times New Roman"/>
          <w:sz w:val="25"/>
          <w:szCs w:val="25"/>
        </w:rPr>
      </w:pPr>
      <w:r w:rsidRPr="00B924EC">
        <w:rPr>
          <w:rFonts w:ascii="Times New Roman" w:hAnsi="Times New Roman" w:cs="Times New Roman"/>
          <w:sz w:val="25"/>
          <w:szCs w:val="25"/>
        </w:rPr>
        <w:t xml:space="preserve"> That you are carrying on manufacturing of Jute bags and Cotton floor mats business in the said p</w:t>
      </w:r>
      <w:r w:rsidRPr="00B924EC">
        <w:rPr>
          <w:rFonts w:ascii="Times New Roman" w:hAnsi="Times New Roman" w:cs="Times New Roman"/>
          <w:sz w:val="25"/>
          <w:szCs w:val="25"/>
        </w:rPr>
        <w:t>remises without the knowledge of the Corporation.</w:t>
      </w:r>
    </w:p>
    <w:p w:rsidR="00940BA0" w:rsidRPr="00B924EC" w:rsidRDefault="00EB22DA">
      <w:pPr>
        <w:pStyle w:val="Bodytext0"/>
        <w:numPr>
          <w:ilvl w:val="0"/>
          <w:numId w:val="2"/>
        </w:numPr>
        <w:shd w:val="clear" w:color="auto" w:fill="auto"/>
        <w:spacing w:before="0" w:after="300" w:line="322" w:lineRule="exact"/>
        <w:ind w:left="20" w:right="300"/>
        <w:jc w:val="both"/>
        <w:rPr>
          <w:rFonts w:ascii="Times New Roman" w:hAnsi="Times New Roman" w:cs="Times New Roman"/>
          <w:sz w:val="25"/>
          <w:szCs w:val="25"/>
        </w:rPr>
      </w:pPr>
      <w:r w:rsidRPr="00B924EC">
        <w:rPr>
          <w:rFonts w:ascii="Times New Roman" w:hAnsi="Times New Roman" w:cs="Times New Roman"/>
          <w:sz w:val="25"/>
          <w:szCs w:val="25"/>
        </w:rPr>
        <w:t xml:space="preserve"> In the present case, the High Court after reappreciating the entire evidence available on record, came to the conclusion that in the course of enquiry proceedings, certain witnesses had not been examined i</w:t>
      </w:r>
      <w:r w:rsidRPr="00B924EC">
        <w:rPr>
          <w:rFonts w:ascii="Times New Roman" w:hAnsi="Times New Roman" w:cs="Times New Roman"/>
          <w:sz w:val="25"/>
          <w:szCs w:val="25"/>
        </w:rPr>
        <w:t xml:space="preserve">n the presence of the delinquent respondent, and that hence, no proper opportunity was given to him to cross-examine such witnesses. Moreover, </w:t>
      </w:r>
      <w:r w:rsidRPr="00B924EC">
        <w:rPr>
          <w:rFonts w:ascii="Times New Roman" w:hAnsi="Times New Roman" w:cs="Times New Roman"/>
          <w:sz w:val="25"/>
          <w:szCs w:val="25"/>
        </w:rPr>
        <w:lastRenderedPageBreak/>
        <w:t xml:space="preserve">the documents relied upon by the Enquiry Officer, were not properly proved by any witness and ultimately, it was </w:t>
      </w:r>
      <w:r w:rsidRPr="00B924EC">
        <w:rPr>
          <w:rFonts w:ascii="Times New Roman" w:hAnsi="Times New Roman" w:cs="Times New Roman"/>
          <w:sz w:val="25"/>
          <w:szCs w:val="25"/>
        </w:rPr>
        <w:t>held that the findings of the Enquiry Officer stood vitiated, for non-compliance with mandatory requirements of the regulations applicable herein, as well as for violating of the principles of natural justice. The court further held that the Appellate Auth</w:t>
      </w:r>
      <w:r w:rsidRPr="00B924EC">
        <w:rPr>
          <w:rFonts w:ascii="Times New Roman" w:hAnsi="Times New Roman" w:cs="Times New Roman"/>
          <w:sz w:val="25"/>
          <w:szCs w:val="25"/>
        </w:rPr>
        <w:t>ority had not applied its mind to the case, and had failed to consider the case as required under Regulation 46(2), of the Regulations, 1960. Thus, in light of the aforementioned observations, the court set aside the punishment imposed upon the respondent,</w:t>
      </w:r>
      <w:r w:rsidRPr="00B924EC">
        <w:rPr>
          <w:rFonts w:ascii="Times New Roman" w:hAnsi="Times New Roman" w:cs="Times New Roman"/>
          <w:sz w:val="25"/>
          <w:szCs w:val="25"/>
        </w:rPr>
        <w:t xml:space="preserve"> and also refused to give the appellant any opportunity, to continue the enquiry from the point that it stood vitiated, consequently therefore, denying any opportunity to prove the documents relied upon, as also denying the respondent adequate opportunity </w:t>
      </w:r>
      <w:r w:rsidRPr="00B924EC">
        <w:rPr>
          <w:rFonts w:ascii="Times New Roman" w:hAnsi="Times New Roman" w:cs="Times New Roman"/>
          <w:sz w:val="25"/>
          <w:szCs w:val="25"/>
        </w:rPr>
        <w:t>to cross-examine the concerned witnesses etc., only on the ground that a long time had now passed.</w:t>
      </w:r>
    </w:p>
    <w:p w:rsidR="00940BA0" w:rsidRPr="00B924EC" w:rsidRDefault="00EB22DA">
      <w:pPr>
        <w:pStyle w:val="Bodytext0"/>
        <w:numPr>
          <w:ilvl w:val="0"/>
          <w:numId w:val="2"/>
        </w:numPr>
        <w:shd w:val="clear" w:color="auto" w:fill="auto"/>
        <w:spacing w:before="0" w:after="277" w:line="322" w:lineRule="exact"/>
        <w:ind w:left="20" w:right="300"/>
        <w:jc w:val="both"/>
        <w:rPr>
          <w:rFonts w:ascii="Times New Roman" w:hAnsi="Times New Roman" w:cs="Times New Roman"/>
          <w:sz w:val="25"/>
          <w:szCs w:val="25"/>
        </w:rPr>
      </w:pPr>
      <w:r w:rsidRPr="00B924EC">
        <w:rPr>
          <w:rFonts w:ascii="Times New Roman" w:hAnsi="Times New Roman" w:cs="Times New Roman"/>
          <w:sz w:val="25"/>
          <w:szCs w:val="25"/>
        </w:rPr>
        <w:t xml:space="preserve"> In view of the issues raised by the learned counsel for the parties, the following questions arise for our consideration:</w:t>
      </w:r>
    </w:p>
    <w:p w:rsidR="00940BA0" w:rsidRPr="00B924EC" w:rsidRDefault="00EB22DA">
      <w:pPr>
        <w:pStyle w:val="Bodytext0"/>
        <w:numPr>
          <w:ilvl w:val="0"/>
          <w:numId w:val="7"/>
        </w:numPr>
        <w:shd w:val="clear" w:color="auto" w:fill="auto"/>
        <w:tabs>
          <w:tab w:val="center" w:pos="5766"/>
          <w:tab w:val="right" w:pos="9375"/>
          <w:tab w:val="left" w:pos="1048"/>
        </w:tabs>
        <w:spacing w:before="0" w:line="350" w:lineRule="exact"/>
        <w:ind w:left="20" w:right="300" w:firstLine="720"/>
        <w:jc w:val="left"/>
        <w:rPr>
          <w:rFonts w:ascii="Times New Roman" w:hAnsi="Times New Roman" w:cs="Times New Roman"/>
          <w:sz w:val="25"/>
          <w:szCs w:val="25"/>
        </w:rPr>
        <w:sectPr w:rsidR="00940BA0" w:rsidRPr="00B924EC">
          <w:footerReference w:type="even" r:id="rId9"/>
          <w:footerReference w:type="default" r:id="rId10"/>
          <w:pgSz w:w="12240" w:h="15840"/>
          <w:pgMar w:top="1332" w:right="917" w:bottom="1624" w:left="1661" w:header="0" w:footer="3" w:gutter="0"/>
          <w:cols w:space="720"/>
          <w:noEndnote/>
          <w:docGrid w:linePitch="360"/>
        </w:sectPr>
      </w:pPr>
      <w:r w:rsidRPr="00B924EC">
        <w:rPr>
          <w:rFonts w:ascii="Times New Roman" w:hAnsi="Times New Roman" w:cs="Times New Roman"/>
          <w:sz w:val="25"/>
          <w:szCs w:val="25"/>
        </w:rPr>
        <w:t xml:space="preserve">When a court/tribunal sets aside the order of punishment imposed in a disciplinary proceeding on technical grounds, i.e., non-observance of </w:t>
      </w:r>
      <w:r w:rsidRPr="00B924EC">
        <w:rPr>
          <w:rStyle w:val="Bodytext11pt"/>
          <w:rFonts w:ascii="Times New Roman" w:hAnsi="Times New Roman" w:cs="Times New Roman"/>
          <w:sz w:val="25"/>
          <w:szCs w:val="25"/>
        </w:rPr>
        <w:t>Law Information Center</w:t>
      </w:r>
      <w:r w:rsidRPr="00B924EC">
        <w:rPr>
          <w:rStyle w:val="Bodytext11pt"/>
          <w:rFonts w:ascii="Times New Roman" w:hAnsi="Times New Roman" w:cs="Times New Roman"/>
          <w:sz w:val="25"/>
          <w:szCs w:val="25"/>
        </w:rPr>
        <w:tab/>
        <w:t>5</w:t>
      </w:r>
      <w:r w:rsidRPr="00B924EC">
        <w:rPr>
          <w:rStyle w:val="Bodytext11pt"/>
          <w:rFonts w:ascii="Times New Roman" w:hAnsi="Times New Roman" w:cs="Times New Roman"/>
          <w:sz w:val="25"/>
          <w:szCs w:val="25"/>
        </w:rPr>
        <w:tab/>
        <w:t>SpotLaw</w:t>
      </w:r>
    </w:p>
    <w:p w:rsidR="00940BA0" w:rsidRPr="00B924EC" w:rsidRDefault="00EB22DA">
      <w:pPr>
        <w:pStyle w:val="Bodytext0"/>
        <w:shd w:val="clear" w:color="auto" w:fill="auto"/>
        <w:spacing w:before="0" w:after="300" w:line="322" w:lineRule="exact"/>
        <w:ind w:left="740" w:right="40"/>
        <w:jc w:val="both"/>
        <w:rPr>
          <w:rFonts w:ascii="Times New Roman" w:hAnsi="Times New Roman" w:cs="Times New Roman"/>
          <w:sz w:val="25"/>
          <w:szCs w:val="25"/>
        </w:rPr>
      </w:pPr>
      <w:r w:rsidRPr="00B924EC">
        <w:rPr>
          <w:rFonts w:ascii="Times New Roman" w:hAnsi="Times New Roman" w:cs="Times New Roman"/>
          <w:sz w:val="25"/>
          <w:szCs w:val="25"/>
        </w:rPr>
        <w:lastRenderedPageBreak/>
        <w:t>statutory provisions, or for vio</w:t>
      </w:r>
      <w:r w:rsidRPr="00B924EC">
        <w:rPr>
          <w:rFonts w:ascii="Times New Roman" w:hAnsi="Times New Roman" w:cs="Times New Roman"/>
          <w:sz w:val="25"/>
          <w:szCs w:val="25"/>
        </w:rPr>
        <w:t>lation of the principles of natural justice, then whether the superior court, must provide opportunity to the disciplinary authority, to take up and complete the proceedings, from the point that they stood vitiated and;</w:t>
      </w:r>
    </w:p>
    <w:p w:rsidR="00940BA0" w:rsidRPr="00B924EC" w:rsidRDefault="00EB22DA">
      <w:pPr>
        <w:pStyle w:val="Bodytext0"/>
        <w:numPr>
          <w:ilvl w:val="0"/>
          <w:numId w:val="7"/>
        </w:numPr>
        <w:shd w:val="clear" w:color="auto" w:fill="auto"/>
        <w:tabs>
          <w:tab w:val="left" w:pos="1115"/>
        </w:tabs>
        <w:spacing w:before="0" w:after="300" w:line="322" w:lineRule="exact"/>
        <w:ind w:left="740" w:right="40"/>
        <w:jc w:val="both"/>
        <w:rPr>
          <w:rFonts w:ascii="Times New Roman" w:hAnsi="Times New Roman" w:cs="Times New Roman"/>
          <w:sz w:val="25"/>
          <w:szCs w:val="25"/>
        </w:rPr>
      </w:pPr>
      <w:r w:rsidRPr="00B924EC">
        <w:rPr>
          <w:rFonts w:ascii="Times New Roman" w:hAnsi="Times New Roman" w:cs="Times New Roman"/>
          <w:sz w:val="25"/>
          <w:szCs w:val="25"/>
        </w:rPr>
        <w:t>If the answer to question no.1 is, t</w:t>
      </w:r>
      <w:r w:rsidRPr="00B924EC">
        <w:rPr>
          <w:rFonts w:ascii="Times New Roman" w:hAnsi="Times New Roman" w:cs="Times New Roman"/>
          <w:sz w:val="25"/>
          <w:szCs w:val="25"/>
        </w:rPr>
        <w:t>hat such fresh opportunity should be given, then whether the same may be denied on the ground of delay in initiation, or in conclusion of the said disciplinary proceedings.</w:t>
      </w:r>
    </w:p>
    <w:p w:rsidR="00940BA0" w:rsidRPr="00B924EC" w:rsidRDefault="00EB22DA">
      <w:pPr>
        <w:pStyle w:val="Bodytext0"/>
        <w:numPr>
          <w:ilvl w:val="0"/>
          <w:numId w:val="2"/>
        </w:numPr>
        <w:shd w:val="clear" w:color="auto" w:fill="auto"/>
        <w:spacing w:before="0" w:line="322" w:lineRule="exact"/>
        <w:ind w:left="20" w:right="40"/>
        <w:jc w:val="both"/>
        <w:rPr>
          <w:rFonts w:ascii="Times New Roman" w:hAnsi="Times New Roman" w:cs="Times New Roman"/>
          <w:sz w:val="25"/>
          <w:szCs w:val="25"/>
        </w:rPr>
      </w:pPr>
      <w:r w:rsidRPr="00B924EC">
        <w:rPr>
          <w:rFonts w:ascii="Times New Roman" w:hAnsi="Times New Roman" w:cs="Times New Roman"/>
          <w:sz w:val="25"/>
          <w:szCs w:val="25"/>
        </w:rPr>
        <w:t xml:space="preserve"> It is a settled legal proposition, that once the Court sets aside an order of puni</w:t>
      </w:r>
      <w:r w:rsidRPr="00B924EC">
        <w:rPr>
          <w:rFonts w:ascii="Times New Roman" w:hAnsi="Times New Roman" w:cs="Times New Roman"/>
          <w:sz w:val="25"/>
          <w:szCs w:val="25"/>
        </w:rPr>
        <w:t>shment, on the ground that the enquiry was not properly conducted, the Court cannot reinstate the employee. It must remit the concerned case to the disciplinary authority, for it to conduct the enquiry from the point that it stood vitiated, and conclude th</w:t>
      </w:r>
      <w:r w:rsidRPr="00B924EC">
        <w:rPr>
          <w:rFonts w:ascii="Times New Roman" w:hAnsi="Times New Roman" w:cs="Times New Roman"/>
          <w:sz w:val="25"/>
          <w:szCs w:val="25"/>
        </w:rPr>
        <w:t>e same. (Vide: Managing Director, ECIL, Hyderabad etc.etc. v. B. Karunakar etc.etc. AIR 1994 SC 1074; Hiran Mayee Bhattacharyya v. Secretary,</w:t>
      </w:r>
    </w:p>
    <w:p w:rsidR="00940BA0" w:rsidRPr="00B924EC" w:rsidRDefault="00EB22DA">
      <w:pPr>
        <w:pStyle w:val="Bodytext0"/>
        <w:shd w:val="clear" w:color="auto" w:fill="auto"/>
        <w:tabs>
          <w:tab w:val="left" w:pos="692"/>
        </w:tabs>
        <w:spacing w:before="0" w:after="349" w:line="322" w:lineRule="exact"/>
        <w:ind w:left="20" w:right="40"/>
        <w:jc w:val="both"/>
        <w:rPr>
          <w:rFonts w:ascii="Times New Roman" w:hAnsi="Times New Roman" w:cs="Times New Roman"/>
          <w:sz w:val="25"/>
          <w:szCs w:val="25"/>
        </w:rPr>
      </w:pPr>
      <w:r w:rsidRPr="00B924EC">
        <w:rPr>
          <w:rFonts w:ascii="Times New Roman" w:hAnsi="Times New Roman" w:cs="Times New Roman"/>
          <w:sz w:val="25"/>
          <w:szCs w:val="25"/>
        </w:rPr>
        <w:t xml:space="preserve">S.M. School for Girls Ors., (2002) 10 SCC 293; U.P. State Spinning C. Ltd. v. R.S. Pandey Anr., (2005) 8 SCC 264; </w:t>
      </w:r>
      <w:r w:rsidRPr="00B924EC">
        <w:rPr>
          <w:rFonts w:ascii="Times New Roman" w:hAnsi="Times New Roman" w:cs="Times New Roman"/>
          <w:sz w:val="25"/>
          <w:szCs w:val="25"/>
        </w:rPr>
        <w:t>and Union of India v. Y.S. Sandhu, Ex</w:t>
      </w:r>
      <w:r w:rsidRPr="00B924EC">
        <w:rPr>
          <w:rFonts w:ascii="Times New Roman" w:hAnsi="Times New Roman" w:cs="Times New Roman"/>
          <w:sz w:val="25"/>
          <w:szCs w:val="25"/>
        </w:rPr>
        <w:softHyphen/>
        <w:t>Inspector AIR 2009 SC 161).</w:t>
      </w:r>
    </w:p>
    <w:p w:rsidR="00940BA0" w:rsidRPr="00B924EC" w:rsidRDefault="00EB22DA">
      <w:pPr>
        <w:pStyle w:val="Bodytext0"/>
        <w:numPr>
          <w:ilvl w:val="0"/>
          <w:numId w:val="2"/>
        </w:numPr>
        <w:shd w:val="clear" w:color="auto" w:fill="auto"/>
        <w:spacing w:before="0" w:after="313" w:line="260" w:lineRule="exact"/>
        <w:ind w:left="20"/>
        <w:jc w:val="both"/>
        <w:rPr>
          <w:rFonts w:ascii="Times New Roman" w:hAnsi="Times New Roman" w:cs="Times New Roman"/>
          <w:sz w:val="25"/>
          <w:szCs w:val="25"/>
        </w:rPr>
      </w:pPr>
      <w:r w:rsidRPr="00B924EC">
        <w:rPr>
          <w:rFonts w:ascii="Times New Roman" w:hAnsi="Times New Roman" w:cs="Times New Roman"/>
          <w:sz w:val="25"/>
          <w:szCs w:val="25"/>
        </w:rPr>
        <w:t xml:space="preserve"> The second question involved herein, is also no longer res integra.</w:t>
      </w:r>
    </w:p>
    <w:p w:rsidR="00940BA0" w:rsidRPr="00B924EC" w:rsidRDefault="00EB22DA">
      <w:pPr>
        <w:pStyle w:val="Bodytext0"/>
        <w:shd w:val="clear" w:color="auto" w:fill="auto"/>
        <w:spacing w:before="0" w:after="300" w:line="322" w:lineRule="exact"/>
        <w:ind w:left="740" w:right="40"/>
        <w:jc w:val="both"/>
        <w:rPr>
          <w:rFonts w:ascii="Times New Roman" w:hAnsi="Times New Roman" w:cs="Times New Roman"/>
          <w:sz w:val="25"/>
          <w:szCs w:val="25"/>
        </w:rPr>
      </w:pPr>
      <w:r w:rsidRPr="00B924EC">
        <w:rPr>
          <w:rFonts w:ascii="Times New Roman" w:hAnsi="Times New Roman" w:cs="Times New Roman"/>
          <w:sz w:val="25"/>
          <w:szCs w:val="25"/>
        </w:rPr>
        <w:t xml:space="preserve">Whether or not the disciplinary authority should be given an opportunity, to complete the enquiry afresh from the point </w:t>
      </w:r>
      <w:r w:rsidRPr="00B924EC">
        <w:rPr>
          <w:rFonts w:ascii="Times New Roman" w:hAnsi="Times New Roman" w:cs="Times New Roman"/>
          <w:sz w:val="25"/>
          <w:szCs w:val="25"/>
        </w:rPr>
        <w:t>that it stood vitiated, depends upon the gravity of delinquency involved. Thus, the court must examine, the magnitude of misconduct alleged against the delinquent employee. It is in view of this, that courts/tribunals, are not competent to quash the charge</w:t>
      </w:r>
      <w:r w:rsidRPr="00B924EC">
        <w:rPr>
          <w:rFonts w:ascii="Times New Roman" w:hAnsi="Times New Roman" w:cs="Times New Roman"/>
          <w:sz w:val="25"/>
          <w:szCs w:val="25"/>
        </w:rPr>
        <w:t>- sheet and related disciplinary proceedings, before the same are concluded, on the aforementioned grounds.</w:t>
      </w:r>
    </w:p>
    <w:p w:rsidR="00940BA0" w:rsidRPr="00B924EC" w:rsidRDefault="00EB22DA">
      <w:pPr>
        <w:pStyle w:val="Bodytext0"/>
        <w:shd w:val="clear" w:color="auto" w:fill="auto"/>
        <w:spacing w:before="0" w:after="349" w:line="322" w:lineRule="exact"/>
        <w:ind w:left="740" w:right="40"/>
        <w:jc w:val="both"/>
        <w:rPr>
          <w:rFonts w:ascii="Times New Roman" w:hAnsi="Times New Roman" w:cs="Times New Roman"/>
          <w:sz w:val="25"/>
          <w:szCs w:val="25"/>
        </w:rPr>
      </w:pPr>
      <w:r w:rsidRPr="00B924EC">
        <w:rPr>
          <w:rFonts w:ascii="Times New Roman" w:hAnsi="Times New Roman" w:cs="Times New Roman"/>
          <w:sz w:val="25"/>
          <w:szCs w:val="25"/>
        </w:rPr>
        <w:t>The court/tribunal should not generally set aside the departmental enquiry, and quash the charges on the ground of delay in initiation of disciplina</w:t>
      </w:r>
      <w:r w:rsidRPr="00B924EC">
        <w:rPr>
          <w:rFonts w:ascii="Times New Roman" w:hAnsi="Times New Roman" w:cs="Times New Roman"/>
          <w:sz w:val="25"/>
          <w:szCs w:val="25"/>
        </w:rPr>
        <w:t xml:space="preserve">ry proceedings, as such a power is de hors the limitation of judicial review. In the event that, the court/tribunal exercises such power, it exceeds its power of judicial review at the very threshold. Therefore, a charge-sheet or show cause notice, issued </w:t>
      </w:r>
      <w:r w:rsidRPr="00B924EC">
        <w:rPr>
          <w:rFonts w:ascii="Times New Roman" w:hAnsi="Times New Roman" w:cs="Times New Roman"/>
          <w:sz w:val="25"/>
          <w:szCs w:val="25"/>
        </w:rPr>
        <w:t>in the course of disciplinary proceedings, cannot ordinarily be quashed by court. The same principle is applicable, in relation to there being a delay in conclusion of disciplinary proceedings. The facts and circumstances of the case in question, have to b</w:t>
      </w:r>
      <w:r w:rsidRPr="00B924EC">
        <w:rPr>
          <w:rFonts w:ascii="Times New Roman" w:hAnsi="Times New Roman" w:cs="Times New Roman"/>
          <w:sz w:val="25"/>
          <w:szCs w:val="25"/>
        </w:rPr>
        <w:t xml:space="preserve">e examined, taking into consideration the gravity/magnitude of charges involved therein. The essence of the matter is that the court must take into consideration, all relevant facts and to balance and weigh the same, so as to determine, if it is infact in </w:t>
      </w:r>
      <w:r w:rsidRPr="00B924EC">
        <w:rPr>
          <w:rFonts w:ascii="Times New Roman" w:hAnsi="Times New Roman" w:cs="Times New Roman"/>
          <w:sz w:val="25"/>
          <w:szCs w:val="25"/>
        </w:rPr>
        <w:t>the interest of clean and honest administration, that the judicial proceedings are allowed to be terminated, only on the ground of delay in their conclusion. (Vide: State of U.P. v. Brahm Datt Sharma Anr., AIR 1987 SC 943; State of Madhya Pradesh v. Bani S</w:t>
      </w:r>
      <w:r w:rsidRPr="00B924EC">
        <w:rPr>
          <w:rFonts w:ascii="Times New Roman" w:hAnsi="Times New Roman" w:cs="Times New Roman"/>
          <w:sz w:val="25"/>
          <w:szCs w:val="25"/>
        </w:rPr>
        <w:t xml:space="preserve">ingh Anr., AIR 1990 SC 1308; Union of India Anr. v. </w:t>
      </w:r>
      <w:r w:rsidRPr="00B924EC">
        <w:rPr>
          <w:rFonts w:ascii="Times New Roman" w:hAnsi="Times New Roman" w:cs="Times New Roman"/>
          <w:sz w:val="25"/>
          <w:szCs w:val="25"/>
        </w:rPr>
        <w:lastRenderedPageBreak/>
        <w:t xml:space="preserve">Ashok Kacker, 1995 Supp (1) SCC 180; Secretary to Government, Prohibition Excise Department v. L. Srinivasan,(1996) 3 SCC 157; State of Andhra Pradesh v. N. Radhakishan, AIR 1998 SC 1833; M.V. Bijlani v. </w:t>
      </w:r>
      <w:r w:rsidRPr="00B924EC">
        <w:rPr>
          <w:rFonts w:ascii="Times New Roman" w:hAnsi="Times New Roman" w:cs="Times New Roman"/>
          <w:sz w:val="25"/>
          <w:szCs w:val="25"/>
        </w:rPr>
        <w:t>Union of India Ors., AIR 2006 SC 3475; Union of India Anr. v. Kunisetty Satyanarayana, AIR 2007 SC 906; and The Secretary, Ministry of Defence Ors. v. Prabash Chandra Mirdha, AIR 2012 SC 2250).</w:t>
      </w:r>
    </w:p>
    <w:p w:rsidR="00940BA0" w:rsidRPr="00B924EC" w:rsidRDefault="00EB22DA">
      <w:pPr>
        <w:pStyle w:val="Bodytext0"/>
        <w:numPr>
          <w:ilvl w:val="0"/>
          <w:numId w:val="2"/>
        </w:numPr>
        <w:shd w:val="clear" w:color="auto" w:fill="auto"/>
        <w:spacing w:before="0" w:after="2" w:line="260" w:lineRule="exact"/>
        <w:ind w:left="20"/>
        <w:jc w:val="left"/>
        <w:rPr>
          <w:rFonts w:ascii="Times New Roman" w:hAnsi="Times New Roman" w:cs="Times New Roman"/>
          <w:sz w:val="25"/>
          <w:szCs w:val="25"/>
        </w:rPr>
      </w:pPr>
      <w:r w:rsidRPr="00B924EC">
        <w:rPr>
          <w:rFonts w:ascii="Times New Roman" w:hAnsi="Times New Roman" w:cs="Times New Roman"/>
          <w:sz w:val="25"/>
          <w:szCs w:val="25"/>
        </w:rPr>
        <w:t xml:space="preserve"> The word “consider”, is of great significance. Its dictionary</w:t>
      </w:r>
      <w:r w:rsidRPr="00B924EC">
        <w:rPr>
          <w:rFonts w:ascii="Times New Roman" w:hAnsi="Times New Roman" w:cs="Times New Roman"/>
          <w:sz w:val="25"/>
          <w:szCs w:val="25"/>
        </w:rPr>
        <w:t xml:space="preserve"> meaning of the</w:t>
      </w:r>
    </w:p>
    <w:p w:rsidR="00940BA0" w:rsidRPr="00B924EC" w:rsidRDefault="00EB22DA">
      <w:pPr>
        <w:pStyle w:val="Bodytext0"/>
        <w:shd w:val="clear" w:color="auto" w:fill="auto"/>
        <w:spacing w:before="0" w:after="313" w:line="260" w:lineRule="exact"/>
        <w:ind w:left="20"/>
        <w:jc w:val="left"/>
        <w:rPr>
          <w:rFonts w:ascii="Times New Roman" w:hAnsi="Times New Roman" w:cs="Times New Roman"/>
          <w:sz w:val="25"/>
          <w:szCs w:val="25"/>
        </w:rPr>
      </w:pPr>
      <w:r w:rsidRPr="00B924EC">
        <w:rPr>
          <w:rFonts w:ascii="Times New Roman" w:hAnsi="Times New Roman" w:cs="Times New Roman"/>
          <w:sz w:val="25"/>
          <w:szCs w:val="25"/>
        </w:rPr>
        <w:t>same is, “to think over”, “to regard as”, or “deem to be”.</w:t>
      </w:r>
    </w:p>
    <w:p w:rsidR="00940BA0" w:rsidRPr="00B924EC" w:rsidRDefault="00EB22DA">
      <w:pPr>
        <w:pStyle w:val="Bodytext0"/>
        <w:shd w:val="clear" w:color="auto" w:fill="auto"/>
        <w:spacing w:before="0" w:after="349" w:line="322" w:lineRule="exact"/>
        <w:ind w:left="720" w:right="40"/>
        <w:jc w:val="both"/>
        <w:rPr>
          <w:rFonts w:ascii="Times New Roman" w:hAnsi="Times New Roman" w:cs="Times New Roman"/>
          <w:sz w:val="25"/>
          <w:szCs w:val="25"/>
        </w:rPr>
      </w:pPr>
      <w:r w:rsidRPr="00B924EC">
        <w:rPr>
          <w:rFonts w:ascii="Times New Roman" w:hAnsi="Times New Roman" w:cs="Times New Roman"/>
          <w:sz w:val="25"/>
          <w:szCs w:val="25"/>
        </w:rPr>
        <w:t>Hence, there is a clear connotation to the effect that, there must be active application of mind. In other words, the term “consider” postulates consideration of all relevant aspect</w:t>
      </w:r>
      <w:r w:rsidRPr="00B924EC">
        <w:rPr>
          <w:rFonts w:ascii="Times New Roman" w:hAnsi="Times New Roman" w:cs="Times New Roman"/>
          <w:sz w:val="25"/>
          <w:szCs w:val="25"/>
        </w:rPr>
        <w:t>s of a matter. Thus, formation of opinion by the statutory authority, should reflect intense application of mind with reference to the material available on record. The order of the authority itself, should reveal such application of mind. The appellate au</w:t>
      </w:r>
      <w:r w:rsidRPr="00B924EC">
        <w:rPr>
          <w:rFonts w:ascii="Times New Roman" w:hAnsi="Times New Roman" w:cs="Times New Roman"/>
          <w:sz w:val="25"/>
          <w:szCs w:val="25"/>
        </w:rPr>
        <w:t xml:space="preserve">thority cannot simply adopt the language employed by the disciplinary authority, and proceed to affirm its order. (Vide: Director, Marketing, Indian Oil Corpn. Ltd. Anr. v. Santosh Kumar, (2006) 11 SCC 147; and Bhikhubhai Vithlabhai Patel Ors. v. State of </w:t>
      </w:r>
      <w:r w:rsidRPr="00B924EC">
        <w:rPr>
          <w:rFonts w:ascii="Times New Roman" w:hAnsi="Times New Roman" w:cs="Times New Roman"/>
          <w:sz w:val="25"/>
          <w:szCs w:val="25"/>
        </w:rPr>
        <w:t>Gujarat Anr., AIR 2008 SC 1771).</w:t>
      </w:r>
    </w:p>
    <w:p w:rsidR="00940BA0" w:rsidRPr="00B924EC" w:rsidRDefault="00EB22DA">
      <w:pPr>
        <w:pStyle w:val="Bodytext0"/>
        <w:numPr>
          <w:ilvl w:val="0"/>
          <w:numId w:val="2"/>
        </w:numPr>
        <w:shd w:val="clear" w:color="auto" w:fill="auto"/>
        <w:spacing w:before="0" w:after="2" w:line="260" w:lineRule="exact"/>
        <w:ind w:left="20"/>
        <w:jc w:val="left"/>
        <w:rPr>
          <w:rFonts w:ascii="Times New Roman" w:hAnsi="Times New Roman" w:cs="Times New Roman"/>
          <w:sz w:val="25"/>
          <w:szCs w:val="25"/>
        </w:rPr>
      </w:pPr>
      <w:r w:rsidRPr="00B924EC">
        <w:rPr>
          <w:rFonts w:ascii="Times New Roman" w:hAnsi="Times New Roman" w:cs="Times New Roman"/>
          <w:sz w:val="25"/>
          <w:szCs w:val="25"/>
        </w:rPr>
        <w:t xml:space="preserve"> The instant case requires to be considered in the light of the aforesaid settled</w:t>
      </w:r>
    </w:p>
    <w:p w:rsidR="00940BA0" w:rsidRPr="00B924EC" w:rsidRDefault="00EB22DA">
      <w:pPr>
        <w:pStyle w:val="Bodytext0"/>
        <w:shd w:val="clear" w:color="auto" w:fill="auto"/>
        <w:spacing w:before="0" w:after="313" w:line="260" w:lineRule="exact"/>
        <w:ind w:left="20"/>
        <w:jc w:val="left"/>
        <w:rPr>
          <w:rFonts w:ascii="Times New Roman" w:hAnsi="Times New Roman" w:cs="Times New Roman"/>
          <w:sz w:val="25"/>
          <w:szCs w:val="25"/>
        </w:rPr>
      </w:pPr>
      <w:r w:rsidRPr="00B924EC">
        <w:rPr>
          <w:rFonts w:ascii="Times New Roman" w:hAnsi="Times New Roman" w:cs="Times New Roman"/>
          <w:sz w:val="25"/>
          <w:szCs w:val="25"/>
        </w:rPr>
        <w:t>legal propositions.</w:t>
      </w:r>
    </w:p>
    <w:p w:rsidR="00940BA0" w:rsidRPr="00B924EC" w:rsidRDefault="00EB22DA">
      <w:pPr>
        <w:pStyle w:val="Bodytext0"/>
        <w:shd w:val="clear" w:color="auto" w:fill="auto"/>
        <w:spacing w:before="0" w:line="322" w:lineRule="exact"/>
        <w:ind w:left="720" w:right="40"/>
        <w:jc w:val="both"/>
        <w:rPr>
          <w:rFonts w:ascii="Times New Roman" w:hAnsi="Times New Roman" w:cs="Times New Roman"/>
          <w:sz w:val="25"/>
          <w:szCs w:val="25"/>
        </w:rPr>
      </w:pPr>
      <w:r w:rsidRPr="00B924EC">
        <w:rPr>
          <w:rFonts w:ascii="Times New Roman" w:hAnsi="Times New Roman" w:cs="Times New Roman"/>
          <w:sz w:val="25"/>
          <w:szCs w:val="25"/>
        </w:rPr>
        <w:t xml:space="preserve">After hearing the counsel for the parties, we are of the view that the impugned judgment and order dated 10.1.2011, in </w:t>
      </w:r>
      <w:r w:rsidRPr="00B924EC">
        <w:rPr>
          <w:rFonts w:ascii="Times New Roman" w:hAnsi="Times New Roman" w:cs="Times New Roman"/>
          <w:sz w:val="25"/>
          <w:szCs w:val="25"/>
        </w:rPr>
        <w:t>Writ Appeal No. 7 of 2011, as well as the order of the learned Single Judge dated 17.2.2010, passed in Writ Petition No. 11152 of 2002, cannot be sustained in the eyes of law and are therefore hereby, set aside. The present appeal is allowed. The matter is</w:t>
      </w:r>
      <w:r w:rsidRPr="00B924EC">
        <w:rPr>
          <w:rFonts w:ascii="Times New Roman" w:hAnsi="Times New Roman" w:cs="Times New Roman"/>
          <w:sz w:val="25"/>
          <w:szCs w:val="25"/>
        </w:rPr>
        <w:t xml:space="preserve"> remitted to the disciplinary authority to enable it to take a fresh decision, taking into consideration the gravity of the charges involved, as with respect to whether it may still be required to hold a de novo enquiry, from the stage that it stood vitiat</w:t>
      </w:r>
      <w:r w:rsidRPr="00B924EC">
        <w:rPr>
          <w:rFonts w:ascii="Times New Roman" w:hAnsi="Times New Roman" w:cs="Times New Roman"/>
          <w:sz w:val="25"/>
          <w:szCs w:val="25"/>
        </w:rPr>
        <w:t>ed, i.e., after issuance of charge-sheet. The</w:t>
      </w:r>
    </w:p>
    <w:p w:rsidR="00940BA0" w:rsidRPr="00B924EC" w:rsidRDefault="00EB22DA">
      <w:pPr>
        <w:pStyle w:val="Bodytext0"/>
        <w:shd w:val="clear" w:color="auto" w:fill="auto"/>
        <w:spacing w:before="0" w:after="300" w:line="322" w:lineRule="exact"/>
        <w:ind w:left="20" w:right="300"/>
        <w:jc w:val="both"/>
        <w:rPr>
          <w:rFonts w:ascii="Times New Roman" w:hAnsi="Times New Roman" w:cs="Times New Roman"/>
          <w:sz w:val="25"/>
          <w:szCs w:val="25"/>
        </w:rPr>
      </w:pPr>
      <w:r w:rsidRPr="00B924EC">
        <w:rPr>
          <w:rFonts w:ascii="Times New Roman" w:hAnsi="Times New Roman" w:cs="Times New Roman"/>
          <w:sz w:val="25"/>
          <w:szCs w:val="25"/>
        </w:rPr>
        <w:t>disciplinary authority while taking such a decision must bear in mind that charges are merely technical as the loan was taken for construction of a residential premises and the said loan was used effectually to</w:t>
      </w:r>
      <w:r w:rsidRPr="00B924EC">
        <w:rPr>
          <w:rFonts w:ascii="Times New Roman" w:hAnsi="Times New Roman" w:cs="Times New Roman"/>
          <w:sz w:val="25"/>
          <w:szCs w:val="25"/>
        </w:rPr>
        <w:t xml:space="preserve"> construct the premises as per sanctioned plan and only then the premises was put to commercial use.</w:t>
      </w:r>
    </w:p>
    <w:p w:rsidR="00940BA0" w:rsidRPr="00B924EC" w:rsidRDefault="00EB22DA">
      <w:pPr>
        <w:pStyle w:val="Bodytext0"/>
        <w:shd w:val="clear" w:color="auto" w:fill="auto"/>
        <w:spacing w:before="0" w:line="322" w:lineRule="exact"/>
        <w:ind w:left="20" w:right="300"/>
        <w:jc w:val="both"/>
        <w:rPr>
          <w:rFonts w:ascii="Times New Roman" w:hAnsi="Times New Roman" w:cs="Times New Roman"/>
          <w:sz w:val="25"/>
          <w:szCs w:val="25"/>
        </w:rPr>
      </w:pPr>
      <w:r w:rsidRPr="00B924EC">
        <w:rPr>
          <w:rFonts w:ascii="Times New Roman" w:hAnsi="Times New Roman" w:cs="Times New Roman"/>
          <w:sz w:val="25"/>
          <w:szCs w:val="25"/>
        </w:rPr>
        <w:t xml:space="preserve">In the event the authority takes a view, that the facts and circumstances of the case require a fresh enquiry, it may proceed accordingly and conclude the </w:t>
      </w:r>
      <w:r w:rsidRPr="00B924EC">
        <w:rPr>
          <w:rFonts w:ascii="Times New Roman" w:hAnsi="Times New Roman" w:cs="Times New Roman"/>
          <w:sz w:val="25"/>
          <w:szCs w:val="25"/>
        </w:rPr>
        <w:t>said enquiry, most expeditiously.</w:t>
      </w:r>
    </w:p>
    <w:sectPr w:rsidR="00940BA0" w:rsidRPr="00B924EC" w:rsidSect="00940BA0">
      <w:footerReference w:type="even" r:id="rId11"/>
      <w:footerReference w:type="default" r:id="rId12"/>
      <w:pgSz w:w="12240" w:h="15840"/>
      <w:pgMar w:top="1332" w:right="917" w:bottom="1624" w:left="166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22DA" w:rsidRDefault="00EB22DA" w:rsidP="00940BA0">
      <w:r>
        <w:separator/>
      </w:r>
    </w:p>
  </w:endnote>
  <w:endnote w:type="continuationSeparator" w:id="1">
    <w:p w:rsidR="00EB22DA" w:rsidRDefault="00EB22DA" w:rsidP="00940BA0">
      <w:r>
        <w:continuationSeparator/>
      </w:r>
    </w:p>
  </w:endnote>
</w:endnotes>
</file>

<file path=word/fontTable.xml><?xml version="1.0" encoding="utf-8"?>
<w:fonts xmlns:r="http://schemas.openxmlformats.org/officeDocument/2006/relationships" xmlns:w="http://schemas.openxmlformats.org/wordprocessingml/2006/main">
  <w:font w:name="David">
    <w:panose1 w:val="020E0502060401010101"/>
    <w:charset w:val="B1"/>
    <w:family w:val="swiss"/>
    <w:pitch w:val="variable"/>
    <w:sig w:usb0="00000801" w:usb1="00000000" w:usb2="00000000" w:usb3="00000000" w:csb0="0000002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BA0" w:rsidRDefault="00940BA0">
    <w:pPr>
      <w:rPr>
        <w:sz w:val="2"/>
        <w:szCs w:val="2"/>
      </w:rPr>
    </w:pPr>
    <w:r w:rsidRPr="00940BA0">
      <w:pict>
        <v:shapetype id="_x0000_t202" coordsize="21600,21600" o:spt="202" path="m,l,21600r21600,l21600,xe">
          <v:stroke joinstyle="miter"/>
          <v:path gradientshapeok="t" o:connecttype="rect"/>
        </v:shapetype>
        <v:shape id="_x0000_s1025" type="#_x0000_t202" style="position:absolute;margin-left:89.75pt;margin-top:715.3pt;width:467.75pt;height:11.05pt;z-index:-188744064;mso-wrap-distance-left:5pt;mso-wrap-distance-right:5pt;mso-position-horizontal-relative:page;mso-position-vertical-relative:page" wrapcoords="0 0" filled="f" stroked="f">
          <v:textbox style="mso-fit-shape-to-text:t" inset="0,0,0,0">
            <w:txbxContent>
              <w:p w:rsidR="00940BA0" w:rsidRDefault="00EB22DA">
                <w:pPr>
                  <w:pStyle w:val="Headerorfooter0"/>
                  <w:shd w:val="clear" w:color="auto" w:fill="auto"/>
                  <w:tabs>
                    <w:tab w:val="right" w:pos="5794"/>
                    <w:tab w:val="right" w:pos="9355"/>
                  </w:tabs>
                  <w:spacing w:line="240" w:lineRule="auto"/>
                </w:pPr>
                <w:r>
                  <w:rPr>
                    <w:rStyle w:val="Headerorfooter1"/>
                  </w:rPr>
                  <w:t xml:space="preserve">Law </w:t>
                </w:r>
                <w:r>
                  <w:rPr>
                    <w:rStyle w:val="Headerorfooter1"/>
                  </w:rPr>
                  <w:t>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BA0" w:rsidRDefault="00940BA0">
    <w:pPr>
      <w:rPr>
        <w:sz w:val="2"/>
        <w:szCs w:val="2"/>
      </w:rPr>
    </w:pPr>
    <w:r w:rsidRPr="00940BA0">
      <w:pict>
        <v:shapetype id="_x0000_t202" coordsize="21600,21600" o:spt="202" path="m,l,21600r21600,l21600,xe">
          <v:stroke joinstyle="miter"/>
          <v:path gradientshapeok="t" o:connecttype="rect"/>
        </v:shapetype>
        <v:shape id="_x0000_s1026" type="#_x0000_t202" style="position:absolute;margin-left:89.75pt;margin-top:715.3pt;width:467.75pt;height:11.05pt;z-index:-188744063;mso-wrap-distance-left:5pt;mso-wrap-distance-right:5pt;mso-position-horizontal-relative:page;mso-position-vertical-relative:page" wrapcoords="0 0" filled="f" stroked="f">
          <v:textbox style="mso-fit-shape-to-text:t" inset="0,0,0,0">
            <w:txbxContent>
              <w:p w:rsidR="00940BA0" w:rsidRDefault="00EB22DA">
                <w:pPr>
                  <w:pStyle w:val="Headerorfooter0"/>
                  <w:shd w:val="clear" w:color="auto" w:fill="auto"/>
                  <w:tabs>
                    <w:tab w:val="right" w:pos="5794"/>
                    <w:tab w:val="right" w:pos="9355"/>
                  </w:tabs>
                  <w:spacing w:line="240" w:lineRule="auto"/>
                </w:pPr>
                <w:r>
                  <w:rPr>
                    <w:rStyle w:val="Headerorfooter1"/>
                  </w:rPr>
                  <w:t>Law Information Center</w:t>
                </w:r>
                <w:r>
                  <w:rPr>
                    <w:rStyle w:val="Headerorfooter1"/>
                  </w:rPr>
                  <w:tab/>
                </w:r>
                <w:fldSimple w:instr=" PAGE \* MERGEFORMAT ">
                  <w:r w:rsidR="00B924EC" w:rsidRPr="00B924EC">
                    <w:rPr>
                      <w:rStyle w:val="Headerorfooter1"/>
                      <w:noProof/>
                    </w:rPr>
                    <w:t>1</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BA0" w:rsidRDefault="00940BA0">
    <w:pPr>
      <w:rPr>
        <w:sz w:val="2"/>
        <w:szCs w:val="2"/>
      </w:rPr>
    </w:pPr>
    <w:r w:rsidRPr="00940BA0">
      <w:pict>
        <v:shapetype id="_x0000_t202" coordsize="21600,21600" o:spt="202" path="m,l,21600r21600,l21600,xe">
          <v:stroke joinstyle="miter"/>
          <v:path gradientshapeok="t" o:connecttype="rect"/>
        </v:shapetype>
        <v:shape id="_x0000_s1027" type="#_x0000_t202" style="position:absolute;margin-left:89.75pt;margin-top:715.3pt;width:467.75pt;height:11.05pt;z-index:-188744062;mso-wrap-distance-left:5pt;mso-wrap-distance-right:5pt;mso-position-horizontal-relative:page;mso-position-vertical-relative:page" wrapcoords="0 0" filled="f" stroked="f">
          <v:textbox style="mso-fit-shape-to-text:t" inset="0,0,0,0">
            <w:txbxContent>
              <w:p w:rsidR="00940BA0" w:rsidRDefault="00EB22DA">
                <w:pPr>
                  <w:pStyle w:val="Headerorfooter0"/>
                  <w:shd w:val="clear" w:color="auto" w:fill="auto"/>
                  <w:tabs>
                    <w:tab w:val="right" w:pos="5794"/>
                    <w:tab w:val="right" w:pos="9355"/>
                  </w:tabs>
                  <w:spacing w:line="240" w:lineRule="auto"/>
                </w:pPr>
                <w:r>
                  <w:rPr>
                    <w:rStyle w:val="Headerorfooter1"/>
                  </w:rPr>
                  <w:t>Law Information Center</w:t>
                </w:r>
                <w:r>
                  <w:rPr>
                    <w:rStyle w:val="Headerorfooter1"/>
                  </w:rPr>
                  <w:tab/>
                </w:r>
                <w:fldSimple w:instr=" PAGE \* MERGEFORMAT ">
                  <w:r w:rsidR="00B924EC" w:rsidRPr="00B924EC">
                    <w:rPr>
                      <w:rStyle w:val="Headerorfooter1"/>
                      <w:noProof/>
                    </w:rPr>
                    <w:t>4</w:t>
                  </w:r>
                </w:fldSimple>
                <w:r>
                  <w:rPr>
                    <w:rStyle w:val="Headerorfooter1"/>
                  </w:rPr>
                  <w:tab/>
                  <w:t>SpotLaw</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BA0" w:rsidRDefault="00940BA0"/>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BA0" w:rsidRDefault="00940BA0">
    <w:pPr>
      <w:rPr>
        <w:sz w:val="2"/>
        <w:szCs w:val="2"/>
      </w:rPr>
    </w:pPr>
    <w:r w:rsidRPr="00940BA0">
      <w:pict>
        <v:shapetype id="_x0000_t202" coordsize="21600,21600" o:spt="202" path="m,l,21600r21600,l21600,xe">
          <v:stroke joinstyle="miter"/>
          <v:path gradientshapeok="t" o:connecttype="rect"/>
        </v:shapetype>
        <v:shape id="_x0000_s1028" type="#_x0000_t202" style="position:absolute;margin-left:89.75pt;margin-top:715.3pt;width:467.75pt;height:11.05pt;z-index:-188744061;mso-wrap-distance-left:5pt;mso-wrap-distance-right:5pt;mso-position-horizontal-relative:page;mso-position-vertical-relative:page" wrapcoords="0 0" filled="f" stroked="f">
          <v:textbox style="mso-fit-shape-to-text:t" inset="0,0,0,0">
            <w:txbxContent>
              <w:p w:rsidR="00940BA0" w:rsidRDefault="00EB22DA">
                <w:pPr>
                  <w:pStyle w:val="Headerorfooter0"/>
                  <w:shd w:val="clear" w:color="auto" w:fill="auto"/>
                  <w:tabs>
                    <w:tab w:val="right" w:pos="5794"/>
                    <w:tab w:val="right" w:pos="9355"/>
                  </w:tabs>
                  <w:spacing w:line="240" w:lineRule="auto"/>
                </w:pPr>
                <w:r>
                  <w:rPr>
                    <w:rStyle w:val="Headerorfooter1"/>
                  </w:rPr>
                  <w:t>Law Information Center</w:t>
                </w:r>
                <w:r>
                  <w:rPr>
                    <w:rStyle w:val="Headerorfooter1"/>
                  </w:rPr>
                  <w:tab/>
                </w:r>
                <w:fldSimple w:instr=" PAGE \* MERGEFORMAT ">
                  <w:r w:rsidR="00B924EC" w:rsidRPr="00B924EC">
                    <w:rPr>
                      <w:rStyle w:val="Headerorfooter1"/>
                      <w:noProof/>
                    </w:rPr>
                    <w:t>6</w:t>
                  </w:r>
                </w:fldSimple>
                <w:r>
                  <w:rPr>
                    <w:rStyle w:val="Headerorfooter1"/>
                  </w:rPr>
                  <w:tab/>
                  <w:t>SpotLaw</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BA0" w:rsidRDefault="00940BA0">
    <w:pPr>
      <w:rPr>
        <w:sz w:val="2"/>
        <w:szCs w:val="2"/>
      </w:rPr>
    </w:pPr>
    <w:r w:rsidRPr="00940BA0">
      <w:pict>
        <v:shapetype id="_x0000_t202" coordsize="21600,21600" o:spt="202" path="m,l,21600r21600,l21600,xe">
          <v:stroke joinstyle="miter"/>
          <v:path gradientshapeok="t" o:connecttype="rect"/>
        </v:shapetype>
        <v:shape id="_x0000_s1029" type="#_x0000_t202" style="position:absolute;margin-left:89.75pt;margin-top:715.3pt;width:467.75pt;height:11.05pt;z-index:-188744060;mso-wrap-distance-left:5pt;mso-wrap-distance-right:5pt;mso-position-horizontal-relative:page;mso-position-vertical-relative:page" wrapcoords="0 0" filled="f" stroked="f">
          <v:textbox style="mso-fit-shape-to-text:t" inset="0,0,0,0">
            <w:txbxContent>
              <w:p w:rsidR="00940BA0" w:rsidRDefault="00EB22DA">
                <w:pPr>
                  <w:pStyle w:val="Headerorfooter0"/>
                  <w:shd w:val="clear" w:color="auto" w:fill="auto"/>
                  <w:tabs>
                    <w:tab w:val="right" w:pos="5794"/>
                    <w:tab w:val="right" w:pos="9355"/>
                  </w:tabs>
                  <w:spacing w:line="240" w:lineRule="auto"/>
                </w:pPr>
                <w:r>
                  <w:rPr>
                    <w:rStyle w:val="Headerorfooter1"/>
                  </w:rPr>
                  <w:t>Law Information Center</w:t>
                </w:r>
                <w:r>
                  <w:rPr>
                    <w:rStyle w:val="Headerorfooter1"/>
                  </w:rPr>
                  <w:tab/>
                </w:r>
                <w:fldSimple w:instr=" PAGE \* MERGEFORMAT ">
                  <w:r w:rsidR="00B924EC" w:rsidRPr="00B924EC">
                    <w:rPr>
                      <w:rStyle w:val="Headerorfooter1"/>
                      <w:noProof/>
                    </w:rPr>
                    <w:t>7</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22DA" w:rsidRDefault="00EB22DA"/>
  </w:footnote>
  <w:footnote w:type="continuationSeparator" w:id="1">
    <w:p w:rsidR="00EB22DA" w:rsidRDefault="00EB22DA"/>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06457"/>
    <w:multiLevelType w:val="multilevel"/>
    <w:tmpl w:val="38D0E26C"/>
    <w:lvl w:ilvl="0">
      <w:start w:val="1"/>
      <w:numFmt w:val="upperLetter"/>
      <w:lvlText w:val="%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12035F2"/>
    <w:multiLevelType w:val="hybridMultilevel"/>
    <w:tmpl w:val="D5E2E078"/>
    <w:lvl w:ilvl="0" w:tplc="D6AAE522">
      <w:start w:val="1"/>
      <w:numFmt w:val="upperLetter"/>
      <w:lvlText w:val="%1."/>
      <w:lvlJc w:val="left"/>
      <w:pPr>
        <w:ind w:left="380" w:hanging="36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2">
    <w:nsid w:val="4EAD09FD"/>
    <w:multiLevelType w:val="multilevel"/>
    <w:tmpl w:val="C30AEC24"/>
    <w:lvl w:ilvl="0">
      <w:start w:val="100"/>
      <w:numFmt w:val="upperRoman"/>
      <w:lvlText w:val="%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4D52A74"/>
    <w:multiLevelType w:val="multilevel"/>
    <w:tmpl w:val="D3E45CAC"/>
    <w:lvl w:ilvl="0">
      <w:start w:val="1"/>
      <w:numFmt w:val="lowerRoman"/>
      <w:lvlText w:val="%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84343AF"/>
    <w:multiLevelType w:val="multilevel"/>
    <w:tmpl w:val="9E3836DA"/>
    <w:lvl w:ilvl="0">
      <w:start w:val="1"/>
      <w:numFmt w:val="lowerRoman"/>
      <w:lvlText w:val="%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67A1B89"/>
    <w:multiLevelType w:val="multilevel"/>
    <w:tmpl w:val="FCC0E06A"/>
    <w:lvl w:ilvl="0">
      <w:start w:val="2"/>
      <w:numFmt w:val="lowerLetter"/>
      <w:lvlText w:val="(%1"/>
      <w:lvlJc w:val="left"/>
      <w:rPr>
        <w:rFonts w:ascii="David" w:eastAsia="David" w:hAnsi="David" w:cs="David"/>
        <w:b w:val="0"/>
        <w:bCs w:val="0"/>
        <w:i w:val="0"/>
        <w:iCs w:val="0"/>
        <w:smallCaps w:val="0"/>
        <w:strike w:val="0"/>
        <w:color w:val="000000"/>
        <w:spacing w:val="0"/>
        <w:w w:val="100"/>
        <w:position w:val="0"/>
        <w:sz w:val="26"/>
        <w:szCs w:val="26"/>
        <w:u w:val="none"/>
        <w:vertAlign w:val="superscript"/>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97D3D8E"/>
    <w:multiLevelType w:val="multilevel"/>
    <w:tmpl w:val="5BBCA98C"/>
    <w:lvl w:ilvl="0">
      <w:start w:val="1"/>
      <w:numFmt w:val="decimal"/>
      <w:lvlText w:val="%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1DF4F4A"/>
    <w:multiLevelType w:val="multilevel"/>
    <w:tmpl w:val="1CB23D1C"/>
    <w:lvl w:ilvl="0">
      <w:start w:val="1"/>
      <w:numFmt w:val="lowerLetter"/>
      <w:lvlText w:val="%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6"/>
  </w:num>
  <w:num w:numId="3">
    <w:abstractNumId w:val="0"/>
  </w:num>
  <w:num w:numId="4">
    <w:abstractNumId w:val="5"/>
  </w:num>
  <w:num w:numId="5">
    <w:abstractNumId w:val="7"/>
  </w:num>
  <w:num w:numId="6">
    <w:abstractNumId w:val="3"/>
  </w:num>
  <w:num w:numId="7">
    <w:abstractNumId w:val="4"/>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940BA0"/>
    <w:rsid w:val="00940BA0"/>
    <w:rsid w:val="00B924EC"/>
    <w:rsid w:val="00EB22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40BA0"/>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40BA0"/>
    <w:rPr>
      <w:color w:val="0066CC"/>
      <w:u w:val="single"/>
    </w:rPr>
  </w:style>
  <w:style w:type="character" w:customStyle="1" w:styleId="Bodytext2">
    <w:name w:val="Body text (2)_"/>
    <w:basedOn w:val="DefaultParagraphFont"/>
    <w:link w:val="Bodytext20"/>
    <w:rsid w:val="00940BA0"/>
    <w:rPr>
      <w:rFonts w:ascii="David" w:eastAsia="David" w:hAnsi="David" w:cs="David"/>
      <w:b/>
      <w:bCs/>
      <w:i w:val="0"/>
      <w:iCs w:val="0"/>
      <w:smallCaps w:val="0"/>
      <w:strike w:val="0"/>
      <w:sz w:val="28"/>
      <w:szCs w:val="28"/>
      <w:u w:val="none"/>
    </w:rPr>
  </w:style>
  <w:style w:type="character" w:customStyle="1" w:styleId="Headerorfooter">
    <w:name w:val="Header or footer_"/>
    <w:basedOn w:val="DefaultParagraphFont"/>
    <w:link w:val="Headerorfooter0"/>
    <w:rsid w:val="00940BA0"/>
    <w:rPr>
      <w:rFonts w:ascii="David" w:eastAsia="David" w:hAnsi="David" w:cs="David"/>
      <w:b w:val="0"/>
      <w:bCs w:val="0"/>
      <w:i w:val="0"/>
      <w:iCs w:val="0"/>
      <w:smallCaps w:val="0"/>
      <w:strike w:val="0"/>
      <w:sz w:val="22"/>
      <w:szCs w:val="22"/>
      <w:u w:val="none"/>
    </w:rPr>
  </w:style>
  <w:style w:type="character" w:customStyle="1" w:styleId="Headerorfooter1">
    <w:name w:val="Header or footer"/>
    <w:basedOn w:val="Headerorfooter"/>
    <w:rsid w:val="00940BA0"/>
    <w:rPr>
      <w:color w:val="000000"/>
      <w:spacing w:val="0"/>
      <w:w w:val="100"/>
      <w:position w:val="0"/>
      <w:lang w:val="en-US" w:eastAsia="en-US" w:bidi="en-US"/>
    </w:rPr>
  </w:style>
  <w:style w:type="character" w:customStyle="1" w:styleId="Bodytext">
    <w:name w:val="Body text_"/>
    <w:basedOn w:val="DefaultParagraphFont"/>
    <w:link w:val="Bodytext0"/>
    <w:rsid w:val="00940BA0"/>
    <w:rPr>
      <w:rFonts w:ascii="David" w:eastAsia="David" w:hAnsi="David" w:cs="David"/>
      <w:b w:val="0"/>
      <w:bCs w:val="0"/>
      <w:i w:val="0"/>
      <w:iCs w:val="0"/>
      <w:smallCaps w:val="0"/>
      <w:strike w:val="0"/>
      <w:sz w:val="26"/>
      <w:szCs w:val="26"/>
      <w:u w:val="none"/>
    </w:rPr>
  </w:style>
  <w:style w:type="character" w:customStyle="1" w:styleId="Bodytext11pt">
    <w:name w:val="Body text + 11 pt"/>
    <w:basedOn w:val="Bodytext"/>
    <w:rsid w:val="00940BA0"/>
    <w:rPr>
      <w:color w:val="000000"/>
      <w:spacing w:val="0"/>
      <w:w w:val="100"/>
      <w:position w:val="0"/>
      <w:sz w:val="22"/>
      <w:szCs w:val="22"/>
      <w:lang w:val="en-US" w:eastAsia="en-US" w:bidi="en-US"/>
    </w:rPr>
  </w:style>
  <w:style w:type="paragraph" w:customStyle="1" w:styleId="Bodytext20">
    <w:name w:val="Body text (2)"/>
    <w:basedOn w:val="Normal"/>
    <w:link w:val="Bodytext2"/>
    <w:rsid w:val="00940BA0"/>
    <w:pPr>
      <w:shd w:val="clear" w:color="auto" w:fill="FFFFFF"/>
      <w:spacing w:after="420" w:line="0" w:lineRule="atLeast"/>
      <w:jc w:val="center"/>
    </w:pPr>
    <w:rPr>
      <w:rFonts w:ascii="David" w:eastAsia="David" w:hAnsi="David" w:cs="David"/>
      <w:b/>
      <w:bCs/>
      <w:sz w:val="28"/>
      <w:szCs w:val="28"/>
    </w:rPr>
  </w:style>
  <w:style w:type="paragraph" w:customStyle="1" w:styleId="Headerorfooter0">
    <w:name w:val="Header or footer"/>
    <w:basedOn w:val="Normal"/>
    <w:link w:val="Headerorfooter"/>
    <w:rsid w:val="00940BA0"/>
    <w:pPr>
      <w:shd w:val="clear" w:color="auto" w:fill="FFFFFF"/>
      <w:spacing w:line="0" w:lineRule="atLeast"/>
    </w:pPr>
    <w:rPr>
      <w:rFonts w:ascii="David" w:eastAsia="David" w:hAnsi="David" w:cs="David"/>
      <w:sz w:val="22"/>
      <w:szCs w:val="22"/>
    </w:rPr>
  </w:style>
  <w:style w:type="paragraph" w:customStyle="1" w:styleId="Bodytext0">
    <w:name w:val="Body text"/>
    <w:basedOn w:val="Normal"/>
    <w:link w:val="Bodytext"/>
    <w:rsid w:val="00940BA0"/>
    <w:pPr>
      <w:shd w:val="clear" w:color="auto" w:fill="FFFFFF"/>
      <w:spacing w:before="420" w:line="643" w:lineRule="exact"/>
      <w:jc w:val="center"/>
    </w:pPr>
    <w:rPr>
      <w:rFonts w:ascii="David" w:eastAsia="David" w:hAnsi="David" w:cs="David"/>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2302</Words>
  <Characters>13127</Characters>
  <Application>Microsoft Office Word</Application>
  <DocSecurity>0</DocSecurity>
  <Lines>109</Lines>
  <Paragraphs>30</Paragraphs>
  <ScaleCrop>false</ScaleCrop>
  <Company/>
  <LinksUpToDate>false</LinksUpToDate>
  <CharactersWithSpaces>15399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2017-06-29T06:56:00Z</dcterms:created>
  <dcterms:modified xsi:type="dcterms:W3CDTF">2017-06-29T06:57:00Z</dcterms:modified>
</cp:coreProperties>
</file>