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6C8" w:rsidRDefault="00D60EF9" w:rsidP="00241B0B">
      <w:pPr>
        <w:pStyle w:val="Bodytext20"/>
        <w:shd w:val="clear" w:color="auto" w:fill="auto"/>
        <w:spacing w:after="0" w:line="240" w:lineRule="auto"/>
        <w:ind w:left="14"/>
      </w:pPr>
      <w:r>
        <w:t>SUPREME COURT OF INDIA</w:t>
      </w:r>
    </w:p>
    <w:p w:rsidR="00241B0B" w:rsidRDefault="00241B0B" w:rsidP="00241B0B">
      <w:pPr>
        <w:pStyle w:val="Bodytext20"/>
        <w:shd w:val="clear" w:color="auto" w:fill="auto"/>
        <w:spacing w:after="0" w:line="240" w:lineRule="auto"/>
        <w:ind w:left="14"/>
      </w:pPr>
    </w:p>
    <w:p w:rsidR="00A026C8" w:rsidRDefault="00D60EF9" w:rsidP="00241B0B">
      <w:pPr>
        <w:pStyle w:val="Bodytext0"/>
        <w:shd w:val="clear" w:color="auto" w:fill="auto"/>
        <w:spacing w:before="0" w:line="240" w:lineRule="auto"/>
        <w:ind w:left="14"/>
      </w:pPr>
      <w:r>
        <w:t>Extra Judicial Execution Victim Families Association (Eevfam)</w:t>
      </w:r>
    </w:p>
    <w:p w:rsidR="00241B0B" w:rsidRDefault="00241B0B" w:rsidP="00241B0B">
      <w:pPr>
        <w:pStyle w:val="Bodytext0"/>
        <w:shd w:val="clear" w:color="auto" w:fill="auto"/>
        <w:spacing w:before="0" w:line="240" w:lineRule="auto"/>
        <w:ind w:left="14"/>
      </w:pPr>
    </w:p>
    <w:p w:rsidR="00A026C8" w:rsidRDefault="00D60EF9" w:rsidP="00241B0B">
      <w:pPr>
        <w:pStyle w:val="Bodytext0"/>
        <w:shd w:val="clear" w:color="auto" w:fill="auto"/>
        <w:spacing w:before="0" w:line="240" w:lineRule="auto"/>
        <w:ind w:left="14"/>
      </w:pPr>
      <w:r>
        <w:t>Vs.</w:t>
      </w:r>
    </w:p>
    <w:p w:rsidR="00241B0B" w:rsidRDefault="00241B0B" w:rsidP="00241B0B">
      <w:pPr>
        <w:pStyle w:val="Bodytext0"/>
        <w:shd w:val="clear" w:color="auto" w:fill="auto"/>
        <w:spacing w:before="0" w:line="240" w:lineRule="auto"/>
        <w:ind w:left="14"/>
      </w:pPr>
    </w:p>
    <w:p w:rsidR="00241B0B" w:rsidRDefault="00D60EF9" w:rsidP="00241B0B">
      <w:pPr>
        <w:pStyle w:val="Bodytext0"/>
        <w:shd w:val="clear" w:color="auto" w:fill="auto"/>
        <w:spacing w:before="0" w:line="240" w:lineRule="auto"/>
        <w:ind w:left="14"/>
      </w:pPr>
      <w:r>
        <w:t>Union of India</w:t>
      </w:r>
    </w:p>
    <w:p w:rsidR="00241B0B" w:rsidRDefault="00241B0B" w:rsidP="00241B0B">
      <w:pPr>
        <w:pStyle w:val="Bodytext0"/>
        <w:shd w:val="clear" w:color="auto" w:fill="auto"/>
        <w:spacing w:before="0" w:line="240" w:lineRule="auto"/>
        <w:ind w:left="14"/>
      </w:pPr>
    </w:p>
    <w:p w:rsidR="00A026C8" w:rsidRDefault="00D60EF9" w:rsidP="00241B0B">
      <w:pPr>
        <w:pStyle w:val="Bodytext0"/>
        <w:shd w:val="clear" w:color="auto" w:fill="auto"/>
        <w:spacing w:before="0" w:line="240" w:lineRule="auto"/>
        <w:ind w:left="14"/>
      </w:pPr>
      <w:r>
        <w:t xml:space="preserve"> (Aftab Alam and Ranjana Prakash Desai JJ.)</w:t>
      </w:r>
    </w:p>
    <w:p w:rsidR="00241B0B" w:rsidRDefault="00241B0B" w:rsidP="00241B0B">
      <w:pPr>
        <w:pStyle w:val="Bodytext0"/>
        <w:shd w:val="clear" w:color="auto" w:fill="auto"/>
        <w:spacing w:before="0" w:line="240" w:lineRule="auto"/>
        <w:ind w:left="14"/>
      </w:pPr>
    </w:p>
    <w:p w:rsidR="00A026C8" w:rsidRDefault="00D60EF9" w:rsidP="00241B0B">
      <w:pPr>
        <w:pStyle w:val="Bodytext0"/>
        <w:shd w:val="clear" w:color="auto" w:fill="auto"/>
        <w:spacing w:before="0" w:line="240" w:lineRule="auto"/>
        <w:ind w:left="14"/>
      </w:pPr>
      <w:r>
        <w:t>04.01.2013</w:t>
      </w:r>
    </w:p>
    <w:p w:rsidR="00241B0B" w:rsidRDefault="00241B0B" w:rsidP="00241B0B">
      <w:pPr>
        <w:pStyle w:val="Bodytext0"/>
        <w:shd w:val="clear" w:color="auto" w:fill="auto"/>
        <w:spacing w:before="0" w:line="240" w:lineRule="auto"/>
        <w:ind w:left="14"/>
      </w:pPr>
    </w:p>
    <w:p w:rsidR="00A026C8" w:rsidRDefault="00D60EF9" w:rsidP="00241B0B">
      <w:pPr>
        <w:pStyle w:val="Bodytext20"/>
        <w:shd w:val="clear" w:color="auto" w:fill="auto"/>
        <w:spacing w:after="0" w:line="240" w:lineRule="auto"/>
        <w:ind w:left="14"/>
      </w:pPr>
      <w:r>
        <w:t>ORDER</w:t>
      </w:r>
    </w:p>
    <w:p w:rsidR="00241B0B" w:rsidRDefault="00241B0B" w:rsidP="00241B0B">
      <w:pPr>
        <w:pStyle w:val="Bodytext20"/>
        <w:shd w:val="clear" w:color="auto" w:fill="auto"/>
        <w:spacing w:after="0" w:line="240" w:lineRule="auto"/>
        <w:ind w:left="14"/>
      </w:pPr>
    </w:p>
    <w:p w:rsidR="00A026C8" w:rsidRDefault="00D60EF9" w:rsidP="00241B0B">
      <w:pPr>
        <w:pStyle w:val="Bodytext0"/>
        <w:numPr>
          <w:ilvl w:val="0"/>
          <w:numId w:val="1"/>
        </w:numPr>
        <w:shd w:val="clear" w:color="auto" w:fill="auto"/>
        <w:spacing w:before="0" w:line="240" w:lineRule="auto"/>
        <w:ind w:left="14" w:right="40"/>
        <w:jc w:val="both"/>
      </w:pPr>
      <w:r>
        <w:t xml:space="preserve"> These two writ petitions, each filed under Article 32 of the Constitution of India, raise some disquieting issues pertaining to the State of Manipur. In writ petition (criminal) No.129 of 2012, it is stated that, over the years, a large number of people, </w:t>
      </w:r>
      <w:r>
        <w:t>Indian citizens, have been killed by the Manipur Police and other security forces while they were in custody or in stage-managed encounters or in ways broadly termed as ‘extra- judicial executions’. In writ petition (civil) No.445 of 2012, it is stated tha</w:t>
      </w:r>
      <w:r>
        <w:t>t for a very long time, the State of Manipur is declared as “disturbed area” and is put under the Armed Forces (Special Powers) Act, 1958, subverting the civil rights of the citizens of the State and making it possible for the security forces to kill innoc</w:t>
      </w:r>
      <w:r>
        <w:t>ent persons with impunity.</w:t>
      </w:r>
    </w:p>
    <w:p w:rsidR="00A026C8" w:rsidRDefault="00D60EF9">
      <w:pPr>
        <w:pStyle w:val="Bodytext0"/>
        <w:numPr>
          <w:ilvl w:val="0"/>
          <w:numId w:val="1"/>
        </w:numPr>
        <w:shd w:val="clear" w:color="auto" w:fill="auto"/>
        <w:spacing w:before="0" w:after="296" w:line="317" w:lineRule="exact"/>
        <w:ind w:left="20" w:right="40"/>
        <w:jc w:val="both"/>
      </w:pPr>
      <w:r>
        <w:t xml:space="preserve"> In this order, we deal with the first writ petition, i.e., writ petition (criminal) No.129/2012.</w:t>
      </w:r>
    </w:p>
    <w:p w:rsidR="00A026C8" w:rsidRDefault="00D60EF9">
      <w:pPr>
        <w:pStyle w:val="Bodytext0"/>
        <w:numPr>
          <w:ilvl w:val="0"/>
          <w:numId w:val="1"/>
        </w:numPr>
        <w:shd w:val="clear" w:color="auto" w:fill="auto"/>
        <w:spacing w:before="0" w:line="322" w:lineRule="exact"/>
        <w:ind w:left="20" w:right="40"/>
        <w:jc w:val="both"/>
      </w:pPr>
      <w:r>
        <w:t xml:space="preserve"> In this writ petition it is stated that during the period May, 1979 to May, 2012, 1528 people were killed in Manipur in extra-judi</w:t>
      </w:r>
      <w:r>
        <w:t xml:space="preserve">cial execution. The statement is mainly based on a memorandum prepared by ‘Civil Society Coalition on Human Rights in Manipur and the UN’ and submitted to one Christof Heyns, Special Rapporteur on extrajudicial, summary or arbitrary executions, Mission to </w:t>
      </w:r>
      <w:r>
        <w:t>India, 19</w:t>
      </w:r>
      <w:r>
        <w:softHyphen/>
        <w:t xml:space="preserve">30 March, 2012. The Memorandum compiles the list of 1528 people allegedly killed unlawfully by the State Police or the security forces. The writ petitioners later on filed “Compilation 1” and “Compilation 2”. In “Compilation 1” details are given </w:t>
      </w:r>
      <w:r>
        <w:t>of ten (10) cases relating to the killings of eleven (11) persons (out of the list of 1528); in “Compilation 2”, similarly details are given of thirteen (13) cases in which altogether seventeen (17) persons (out of the list of 1528) are alleged to have bee</w:t>
      </w:r>
      <w:r>
        <w:t>n killed in extra judicial executions.</w:t>
      </w:r>
    </w:p>
    <w:p w:rsidR="00A026C8" w:rsidRDefault="00D60EF9">
      <w:pPr>
        <w:pStyle w:val="Bodytext0"/>
        <w:numPr>
          <w:ilvl w:val="0"/>
          <w:numId w:val="1"/>
        </w:numPr>
        <w:shd w:val="clear" w:color="auto" w:fill="auto"/>
        <w:spacing w:before="0" w:after="300" w:line="322" w:lineRule="exact"/>
        <w:ind w:left="20" w:right="40"/>
        <w:jc w:val="both"/>
      </w:pPr>
      <w:r>
        <w:t xml:space="preserve"> A counter affidavit is filed on behalf of the State of Manipur. In the counter affidavit there is not only a complete denial of the allegations made in the writ petition but there also seems to be an attempt to forestall any examination of the matter by t</w:t>
      </w:r>
      <w:r>
        <w:t xml:space="preserve">his </w:t>
      </w:r>
      <w:r>
        <w:lastRenderedPageBreak/>
        <w:t>Court. The plea is taken that the National Human Rights Commission (NHRC) is the proper authority to monitor the cases referred to in the writ petition. It is stated that in regard to all the ten (10) cases highlighted in “Compilation 1” filed by the p</w:t>
      </w:r>
      <w:r>
        <w:t>etitioners, reports have been submitted to it and in none of those cases the NHRC has recorded any finding of violation of human rights. It is stated that the occasion for this Court to examine those cases would arise only if it holds that the NHRC had fai</w:t>
      </w:r>
      <w:r>
        <w:t>led to perform its statutory functions in safeguarding the human rights of the people in the State. This Court should not examine this matter directly but should only ask the NHRC to indicate the status of the cases listed and highlighted in the writ petit</w:t>
      </w:r>
      <w:r>
        <w:t>ion. We are unable even to follow such a plea. The course suggested by the State will completely dissipate the vigour and vitality of Article 32 of the Constitution. Article 21 coupled with Article 32 of the Constitution provides the finest guarantee and t</w:t>
      </w:r>
      <w:r>
        <w:t>he most effective protection for the most precious of all rights, namely, the right to life and personal liberty of every person. Any indication of the violation of the right to life or personal liberty would put all the faculties of this Court at high ale</w:t>
      </w:r>
      <w:r>
        <w:t xml:space="preserve">rt to find out the truth and in case the Court finds that there has, in fact, been violation of the right to life and personal liberty of any person, it would be the Court’s bounden duty to step-in to protect those rights against the unlawful onslaught by </w:t>
      </w:r>
      <w:r>
        <w:t>the State. We, therefore, see no reason not to examine the matter directly but only vicariously and second-hand, through the agency of the NHRC.</w:t>
      </w:r>
    </w:p>
    <w:p w:rsidR="00A026C8" w:rsidRDefault="00D60EF9">
      <w:pPr>
        <w:pStyle w:val="Bodytext0"/>
        <w:numPr>
          <w:ilvl w:val="0"/>
          <w:numId w:val="1"/>
        </w:numPr>
        <w:shd w:val="clear" w:color="auto" w:fill="auto"/>
        <w:spacing w:before="0" w:after="300" w:line="322" w:lineRule="exact"/>
        <w:ind w:left="20" w:right="40"/>
        <w:jc w:val="both"/>
      </w:pPr>
      <w:r>
        <w:t xml:space="preserve"> A reference is next made in the counter affidavit to an appeal pending before this Court against the judgment </w:t>
      </w:r>
      <w:r>
        <w:t>of the Bombay High Court and a writ petition, also pending before this Court, filed by the State of Gujarat on the subject of fake encounters and it is stated that this case should be tagged with those other two cases to be heard together. We fail to see a</w:t>
      </w:r>
      <w:r>
        <w:t>ny relevance of the two cases referred to in the counter affidavit and, in our view, the plea that these two writ petitions should only be heard along with those two cases is meant to detract from consideration the grave issues raised in the writ petition.</w:t>
      </w:r>
    </w:p>
    <w:p w:rsidR="00A026C8" w:rsidRDefault="00D60EF9">
      <w:pPr>
        <w:pStyle w:val="Bodytext0"/>
        <w:numPr>
          <w:ilvl w:val="0"/>
          <w:numId w:val="1"/>
        </w:numPr>
        <w:shd w:val="clear" w:color="auto" w:fill="auto"/>
        <w:spacing w:before="0" w:line="322" w:lineRule="exact"/>
        <w:ind w:left="20" w:right="40"/>
        <w:jc w:val="both"/>
      </w:pPr>
      <w:r>
        <w:t xml:space="preserve"> It is thirdly stated in the counter affidavit that the State of Manipur is faced with the menace of insurgency for many years and details are given of policemen and civilians killed and injured by the insurgents. There are about 30 extremist organization</w:t>
      </w:r>
      <w:r>
        <w:t>s in the State out of which six are very powerful and they are armed with sophisticated weapons. Their aim and object is to secede from the Republic of</w:t>
      </w:r>
    </w:p>
    <w:p w:rsidR="00A026C8" w:rsidRDefault="00D60EF9">
      <w:pPr>
        <w:pStyle w:val="Bodytext0"/>
        <w:shd w:val="clear" w:color="auto" w:fill="auto"/>
        <w:spacing w:before="0" w:after="300" w:line="322" w:lineRule="exact"/>
        <w:ind w:left="20" w:right="40"/>
        <w:jc w:val="both"/>
      </w:pPr>
      <w:r>
        <w:t>India and to form an independent State of Manipur. For realization of their objective they have been ind</w:t>
      </w:r>
      <w:r>
        <w:t>ulging in violent activities, including killing of civilians and members of security forces. It is stated in the counter affidavit that during the period 2000 to October, 2012, 105 policemen, 260 security forces personnel, and 1214 civilians were killed; t</w:t>
      </w:r>
      <w:r>
        <w:t>he number of injured during the same period is 178 for the policemen, 466 for members of security forces and 1173 for civilians.</w:t>
      </w:r>
    </w:p>
    <w:p w:rsidR="00A026C8" w:rsidRDefault="00D60EF9">
      <w:pPr>
        <w:pStyle w:val="Bodytext0"/>
        <w:numPr>
          <w:ilvl w:val="0"/>
          <w:numId w:val="1"/>
        </w:numPr>
        <w:shd w:val="clear" w:color="auto" w:fill="auto"/>
        <w:spacing w:before="0" w:after="300" w:line="322" w:lineRule="exact"/>
        <w:ind w:left="20" w:right="40"/>
        <w:jc w:val="both"/>
      </w:pPr>
      <w:r>
        <w:t xml:space="preserve"> There is no denying that Manipur is facing the grave threat of insurgency. It is also clear that a number of the insurgent gro</w:t>
      </w:r>
      <w:r>
        <w:t>ups are operating there, some of which are heavily armed. These groups indulge in heinous crimes like extortion and killing of people to establish their hegemony. It is also evident from the counter affidavit filed by the State that a number of police pers</w:t>
      </w:r>
      <w:r>
        <w:t xml:space="preserve">onnel and members of security forces have laid down their lives or received serious injuries in fighting against insurgency. But, citing the number of the policemen and the security forces personnel and the civilians killed and injured at the hands of the </w:t>
      </w:r>
      <w:r>
        <w:t>insurgents does not really answer the issues raised by the writ petitioners.</w:t>
      </w:r>
    </w:p>
    <w:p w:rsidR="00A026C8" w:rsidRDefault="00D60EF9">
      <w:pPr>
        <w:pStyle w:val="Bodytext0"/>
        <w:numPr>
          <w:ilvl w:val="0"/>
          <w:numId w:val="1"/>
        </w:numPr>
        <w:shd w:val="clear" w:color="auto" w:fill="auto"/>
        <w:spacing w:before="0" w:line="322" w:lineRule="exact"/>
        <w:ind w:left="20" w:right="40"/>
        <w:jc w:val="both"/>
      </w:pPr>
      <w:r>
        <w:t xml:space="preserve"> In People’s Union for Civil Liberties v. Union of India and another[1], this Court earlier dealt with a similar issue from Manipur itself. In that case, it was alleged that two p</w:t>
      </w:r>
      <w:r>
        <w:t>ersons along with others were seized by the police and taken in a truck to a distant place and shot there. In an inquiry by the District and Sessions Judge, Manipur (West), held on the direction of this Court, the allegation was found to be correct. In tha</w:t>
      </w:r>
      <w:r>
        <w:t>t case, dealing with question of the right to life in a situation where the State was infested with terrorism and insurgency, this Court in paragraphs 5 and 6 of the judgment observed as follows: “5. It is submitted by Ms</w:t>
      </w:r>
    </w:p>
    <w:p w:rsidR="00A026C8" w:rsidRDefault="00D60EF9">
      <w:pPr>
        <w:pStyle w:val="Bodytext0"/>
        <w:shd w:val="clear" w:color="auto" w:fill="auto"/>
        <w:tabs>
          <w:tab w:val="left" w:pos="362"/>
        </w:tabs>
        <w:spacing w:before="0" w:line="322" w:lineRule="exact"/>
        <w:ind w:left="20" w:right="40"/>
        <w:jc w:val="both"/>
      </w:pPr>
      <w:r>
        <w:t>S.</w:t>
      </w:r>
      <w:r>
        <w:tab/>
        <w:t>Janani, the learned counsel for</w:t>
      </w:r>
      <w:r>
        <w:t xml:space="preserve"> the State of Manipur, that Manipur is a disturbed area, that there are several terrorist groups operating in the State, that Hamar Peoples' Convention is one of such terrorist organizations, that they have been indulging in a number of crimes affecting th</w:t>
      </w:r>
      <w:r>
        <w:t>e public order — indeed, affecting the security of the State. It is submitted that there have been regular encounters and exchange of fire between police and terrorists on a number of occasions. A number of citizens have suffered at the hands of terrorists</w:t>
      </w:r>
      <w:r>
        <w:t xml:space="preserve"> and many people have been killed. The situation is not a normal one. Information was received by the police that terrorists were gathering in the house on that night and on the basis of that information, police conducted the raid. The raiding party was fo</w:t>
      </w:r>
      <w:r>
        <w:t>rtunate that the people inside the house including the deceased did not notice the police, in which case the police would have suffered serious casualties. The police party was successful in surprising the terrorists. There was exchange of fire resulting i</w:t>
      </w:r>
      <w:r>
        <w:t>n the death of the terrorists.</w:t>
      </w:r>
    </w:p>
    <w:p w:rsidR="00A026C8" w:rsidRDefault="00D60EF9">
      <w:pPr>
        <w:pStyle w:val="Bodytext0"/>
        <w:numPr>
          <w:ilvl w:val="0"/>
          <w:numId w:val="2"/>
        </w:numPr>
        <w:shd w:val="clear" w:color="auto" w:fill="auto"/>
        <w:tabs>
          <w:tab w:val="left" w:pos="1051"/>
        </w:tabs>
        <w:spacing w:before="0" w:after="300" w:line="322" w:lineRule="exact"/>
        <w:ind w:left="720" w:right="40"/>
        <w:jc w:val="both"/>
      </w:pPr>
      <w:r>
        <w:t>In view of the fact that we have accepted the finding recorded by the learned District and Sessions Judge, it is not possible to accede to the contention of Ms Janani insofar as the manner in which the incident had taken plac</w:t>
      </w:r>
      <w:r>
        <w:t xml:space="preserve">e. It is true that Manipur is a disturbed area, that there appears to be a good amount of terrorist activity affecting public order and, may be, even security of that State. It may also be that under these conditions, certain additional and unusual powers </w:t>
      </w:r>
      <w:r>
        <w:t>have to be given to the police to deal with terrorism. It may be necessary to fight terrorism with a strong hand which may involve vesting of good amount of discretion in the police officers or other paramilitary forces engaged in fighting them. If the ver</w:t>
      </w:r>
      <w:r>
        <w:t>sion of the police with respect to the incident in question were true, there could have been no question of any interference by the court. Nobody can say that the police should wait till they are shot at. It is for the force on the spot to decide when to a</w:t>
      </w:r>
      <w:r>
        <w:t>ct, how to act and where to act. It is not for the court to say how the terrorists should be fought. We cannot be blind to the fact that even after fifty years of our independence, our territorial integrity is not fully secure. There are several types of s</w:t>
      </w:r>
      <w:r>
        <w:t>eparatist and terrorist activities in several parts of the country. They have to be subdued. Whether they should be fought politically or be dealt with by force is a matter of policy for the Government to determine. The courts may not be the appropriate fo</w:t>
      </w:r>
      <w:r>
        <w:t>rum to determine those questions. All this is beyond dispute. But the present case appears to be one where two persons along with some others were just seized from a hut, taken to a long distance away in a truck and shot there. This type of activity cannot</w:t>
      </w:r>
      <w:r>
        <w:t xml:space="preserve"> certainly be countenanced by the courts even in the case of disturbed areas. If the police had information that terrorists were gathering at a particular place and if they had surprised them and arrested them, the proper course for them was to deal with t</w:t>
      </w:r>
      <w:r>
        <w:t>hem according to law. “Administrative liquidation” was certainly not a course open to them.” (emphasis added)</w:t>
      </w:r>
    </w:p>
    <w:p w:rsidR="00A026C8" w:rsidRDefault="00D60EF9">
      <w:pPr>
        <w:pStyle w:val="Bodytext0"/>
        <w:numPr>
          <w:ilvl w:val="0"/>
          <w:numId w:val="1"/>
        </w:numPr>
        <w:shd w:val="clear" w:color="auto" w:fill="auto"/>
        <w:spacing w:before="0" w:after="300" w:line="322" w:lineRule="exact"/>
        <w:ind w:left="20" w:right="40"/>
        <w:jc w:val="both"/>
      </w:pPr>
      <w:r>
        <w:t xml:space="preserve"> We respectfully reiterate what was earlier said by the Court in People’s Union for Civil Liberties.</w:t>
      </w:r>
    </w:p>
    <w:p w:rsidR="00A026C8" w:rsidRDefault="00D60EF9">
      <w:pPr>
        <w:pStyle w:val="Bodytext0"/>
        <w:numPr>
          <w:ilvl w:val="0"/>
          <w:numId w:val="1"/>
        </w:numPr>
        <w:shd w:val="clear" w:color="auto" w:fill="auto"/>
        <w:spacing w:before="0" w:after="300" w:line="322" w:lineRule="exact"/>
        <w:ind w:left="20" w:right="40"/>
        <w:jc w:val="both"/>
      </w:pPr>
      <w:r>
        <w:t xml:space="preserve"> In 1997, in the Peoples’ Union for Civil Lib</w:t>
      </w:r>
      <w:r>
        <w:t xml:space="preserve">erties this Court, dealing with the case of killing of two persons in Manipur had cautioned the State against “Administrative liquidation”. But, after 15 years in this case, we are faced with similar allegations on a much larger scale. For this Court, the </w:t>
      </w:r>
      <w:r>
        <w:t>life of a policeman or a member of the security forces is no less precious and valuable than any other person. The lives lost in the fight against terrorism and insurgency are indeed the most grievous loss. But to the State it is not open to cite the numbe</w:t>
      </w:r>
      <w:r>
        <w:t>rs of policemen and security forces killed to justify custodial death, fake encounter or what this Court had called “Administrative liquidation”. It is simply not permitted by the Constitution. And in a situation where the Court finds a person’s rights, sp</w:t>
      </w:r>
      <w:r>
        <w:t>ecially the right to life under assault by the State or the agencies of the State, it must step- in and stand with the individual and prohibit the State or its agencies from violating the rights guaranteed under the Constitution. That is the role of this C</w:t>
      </w:r>
      <w:r>
        <w:t>ourt and it would perform it under all circumstances. We, thus, find that the third plea raised in the counter affidavit is equally without substance. Lastly, the counter affidavit, and the Supplementary Counter Affidavit filed by the State give the State’</w:t>
      </w:r>
      <w:r>
        <w:t>s version of the 10 cases highlighted in the Compilation 1, filed by the petitioners. But on that we would not like to make any comment at this stage.</w:t>
      </w:r>
    </w:p>
    <w:p w:rsidR="00A026C8" w:rsidRDefault="00D60EF9">
      <w:pPr>
        <w:pStyle w:val="Bodytext0"/>
        <w:numPr>
          <w:ilvl w:val="0"/>
          <w:numId w:val="1"/>
        </w:numPr>
        <w:shd w:val="clear" w:color="auto" w:fill="auto"/>
        <w:tabs>
          <w:tab w:val="left" w:pos="495"/>
        </w:tabs>
        <w:spacing w:before="0" w:after="349" w:line="322" w:lineRule="exact"/>
        <w:ind w:left="20" w:right="20"/>
        <w:jc w:val="both"/>
      </w:pPr>
      <w:r>
        <w:t xml:space="preserve">The Union of India has also filed a separate counter affidavit. It is a more responsible affidavit in </w:t>
      </w:r>
      <w:r>
        <w:t xml:space="preserve">that it does not evade the issues nor does it try to dissuade the Court from examining the cases of alleged extra- judicial executions brought to its notice by the writ petitioners. In the counter affidavit filed by the Union, first a reference is made to </w:t>
      </w:r>
      <w:r>
        <w:t xml:space="preserve">different legal provisions (Section 146 and Sections 129 to 132 of the Criminal Procedure Code, Sections 99 to 106 in Chapter IV of the Indian Penal Code and Section 4 of the Armed Forces (Special Powers) Act, 1959) and it is contended that subject to the </w:t>
      </w:r>
      <w:r>
        <w:t xml:space="preserve">conditions stipulated in those provisions, killing of a person by a police officer or a member of the armed forces may not amount to an offence and may be justified in law. It is stated in the counter affidavit that all the cases listed and/or highlighted </w:t>
      </w:r>
      <w:r>
        <w:t>in the writ petition and described as extra-judicial executions are cases of persons who died during counter-insurgency operations or in performance of other lawful duties by the police and the personnel of the armed forces. It is emphasized that in most o</w:t>
      </w:r>
      <w:r>
        <w:t>f the cases the so-called victims might have been killed in the lawful exercise of the powers and/or in discharge of official duties by the police and the armed forces personnel. It is further said that “public order” and, by implication, the maintenance o</w:t>
      </w:r>
      <w:r>
        <w:t>f “law and order” are primarily State subjects and the role of the Central Government in deploying the armed forces personnel in the State is only supportive in aid of the law and order machinery of the State. The State of Manipur has the primary duty to d</w:t>
      </w:r>
      <w:r>
        <w:t>eal with the issue of investigation in relevant cases, except where provided to the contrary in any other law for the time being in force. It is stated that the “very gloomy picture” of the State of Manipur sought to be presented by the writ petitioners is</w:t>
      </w:r>
      <w:r>
        <w:t xml:space="preserve"> incorrect and misleading. It is asserted that Manipur is fully and completely integrated with the rest of the country and it is pointed out that in the 1990 elections the voting turnout for the 60 assembly seats in the State was 89.95%. Similarly, during </w:t>
      </w:r>
      <w:r>
        <w:t>the recent 2012 assembly elections, the voting turnout was 83.24%. It is added that the voting percentage in Manipur is amongst the highest in the country as a whole and it clearly shows that the people of Manipur have taken active participation in the ele</w:t>
      </w:r>
      <w:r>
        <w:t>ctions showing their full faith in the Constitution and the constitutional process.</w:t>
      </w:r>
    </w:p>
    <w:p w:rsidR="00A026C8" w:rsidRDefault="00D60EF9">
      <w:pPr>
        <w:pStyle w:val="Bodytext0"/>
        <w:numPr>
          <w:ilvl w:val="0"/>
          <w:numId w:val="1"/>
        </w:numPr>
        <w:shd w:val="clear" w:color="auto" w:fill="auto"/>
        <w:spacing w:before="0" w:after="313" w:line="260" w:lineRule="exact"/>
        <w:ind w:left="20"/>
        <w:jc w:val="both"/>
      </w:pPr>
      <w:r>
        <w:t xml:space="preserve"> Coming to the issue of insurgency, it is stated in the counter affidavit as under:</w:t>
      </w:r>
    </w:p>
    <w:p w:rsidR="00A026C8" w:rsidRDefault="00D60EF9">
      <w:pPr>
        <w:pStyle w:val="Bodytext0"/>
        <w:shd w:val="clear" w:color="auto" w:fill="auto"/>
        <w:spacing w:before="0" w:after="349" w:line="322" w:lineRule="exact"/>
        <w:ind w:left="740" w:right="20"/>
        <w:jc w:val="both"/>
      </w:pPr>
      <w:r>
        <w:t xml:space="preserve">“It is only a handful of disgruntled elements who have formed associations/ groups that </w:t>
      </w:r>
      <w:r>
        <w:t>indulge in militant and unlawful activities in order to retain their influence and hegemony in the society. These groups also challenge the sovereignty and integrity of the country by following aims and objectives which are secessionist in nature. It is em</w:t>
      </w:r>
      <w:r>
        <w:t>phasized that only around 1500 militants are holding a population of 23 lakhs in Manipur to ransom and keeping the people in constant fear. The root cause of militancy in Manipur is the constant endeavour of these insurgent groups so that they can continue</w:t>
      </w:r>
      <w:r>
        <w:t xml:space="preserve"> to extort money and the leaders of such groups can continue to lead luxurious life in foreign countries. The tribal divide and factions in the society and the unemployed youth are being exploited by these militant outfits to fuel tension in the society.”</w:t>
      </w:r>
    </w:p>
    <w:p w:rsidR="00A026C8" w:rsidRDefault="00D60EF9">
      <w:pPr>
        <w:pStyle w:val="Bodytext0"/>
        <w:numPr>
          <w:ilvl w:val="0"/>
          <w:numId w:val="1"/>
        </w:numPr>
        <w:shd w:val="clear" w:color="auto" w:fill="auto"/>
        <w:spacing w:before="0" w:after="313" w:line="260" w:lineRule="exact"/>
        <w:ind w:left="20"/>
        <w:jc w:val="both"/>
      </w:pPr>
      <w:r>
        <w:t xml:space="preserve"> It is further stated in paragraph 13 of the counter affidavit as under:</w:t>
      </w:r>
    </w:p>
    <w:p w:rsidR="00A026C8" w:rsidRDefault="00D60EF9">
      <w:pPr>
        <w:pStyle w:val="Bodytext0"/>
        <w:shd w:val="clear" w:color="auto" w:fill="auto"/>
        <w:spacing w:before="0" w:after="300" w:line="322" w:lineRule="exact"/>
        <w:ind w:left="740" w:right="20"/>
        <w:jc w:val="both"/>
      </w:pPr>
      <w:r>
        <w:t>“It may also be submitted that the ethnic rivalries amongst the different tribal groups viz. Meities, Kukis and Nagas are deep-rooted and the militant groups fervently advance their i</w:t>
      </w:r>
      <w:r>
        <w:t>deologies by taking advantage of the porous international border with Myanmar which is 256 km long, heavily forested and contains some of the most difficult terrain. The border area is inhabited by the same tribes on either side. These tribes have family r</w:t>
      </w:r>
      <w:r>
        <w:t>elations and for social interactions a free movement regime for the locals to move up to 16 kms on both sides is permitted. Taking advantage of this situation the militant outfits utilize the other side of the border (which is beyond the jurisdiction of th</w:t>
      </w:r>
      <w:r>
        <w:t>e Indian Armed Forces) for conveniently conducting their operations of extortions/ kidnapping/ killing/ looting and ambushing the security forces.”</w:t>
      </w:r>
    </w:p>
    <w:p w:rsidR="00A026C8" w:rsidRDefault="00D60EF9">
      <w:pPr>
        <w:pStyle w:val="Bodytext0"/>
        <w:numPr>
          <w:ilvl w:val="0"/>
          <w:numId w:val="1"/>
        </w:numPr>
        <w:shd w:val="clear" w:color="auto" w:fill="auto"/>
        <w:spacing w:before="0" w:after="300" w:line="322" w:lineRule="exact"/>
        <w:ind w:left="20" w:right="20"/>
        <w:jc w:val="both"/>
      </w:pPr>
      <w:r>
        <w:t xml:space="preserve"> The counter affidavit goes on to explain that the operations of not only the State Police but the different</w:t>
      </w:r>
      <w:r>
        <w:t xml:space="preserve"> security forces under the control of the Central Government are being strictly monitored and kept within the parameters set out by the different laws under which those forces operate. It is stated that different statutory agencies acting as watchdog ensur</w:t>
      </w:r>
      <w:r>
        <w:t>e that the armed forces do not overstep the Constitutional or the legal limits in carrying out the anti-insurgency operations. Ms. Guruswamy, the learned amicus has, on the other hand, presented before us tables and charts showing the inconsistencies in th</w:t>
      </w:r>
      <w:r>
        <w:t xml:space="preserve">e materials produced by the State of Manipur itself concerning the 10 cases highlighted in “Compilation 1” filed by the petitioners. She also submitted that though enquiries were purported to be held by an Executive Magistrate in the 10 cases described in </w:t>
      </w:r>
      <w:r>
        <w:t>“Compilation 1”, in none of those cases the kin of the victims came before the Magistrate to give their statements even though they were approaching the court, complaining that the victims were killed in fake encounters. She further pointed out that in som</w:t>
      </w:r>
      <w:r>
        <w:t>e of the cases even the police/security forces personnel who were engaged in the killings did not turn up, despite summons issued by the Magistrate, to give their version of the occurrence and the Magistrate closed the enquiry, recording that there was not</w:t>
      </w:r>
      <w:r>
        <w:t>hing to indicate that the victims were killed unlawfully. In some cases the Magistrate, even while recording the finding that the case did not appear to be one of fake encounter made the concluding observation that it would be helpful to sensitize the poli</w:t>
      </w:r>
      <w:r>
        <w:t>ce/armed forces in human rights. She submitted that the so-called enquiries held by the Magistrate were wholly unsatisfactory and no reliance could be placed on the findings recorded in those enquiries.</w:t>
      </w:r>
    </w:p>
    <w:p w:rsidR="00A026C8" w:rsidRDefault="00D60EF9">
      <w:pPr>
        <w:pStyle w:val="Bodytext0"/>
        <w:numPr>
          <w:ilvl w:val="0"/>
          <w:numId w:val="1"/>
        </w:numPr>
        <w:shd w:val="clear" w:color="auto" w:fill="auto"/>
        <w:spacing w:before="0" w:after="300" w:line="322" w:lineRule="exact"/>
        <w:ind w:left="20" w:right="40"/>
        <w:jc w:val="both"/>
      </w:pPr>
      <w:r>
        <w:t xml:space="preserve"> Apart from the criticisms made by the amicus against</w:t>
      </w:r>
      <w:r>
        <w:t xml:space="preserve"> the Magisterial enquiries held in the 10 cases of “Compilation 1” it is important to note that a number of cases cited by the petitioners had gone to the Gauhati High Court and on the direction of the High Court, inquires, of a judicial nature, were made </w:t>
      </w:r>
      <w:r>
        <w:t>into the killings of (1) Azad Khan, age 12 years (according to the State, 15 years) (from “Compilation 1”), (2)Nongmaithem Michael Singh, age 32 years, (3) Ningombam Gopal Singh, age 39 years, (4) (i) Salam Gurung alias Jingo, age 24 years, (ii) Soubam Bao</w:t>
      </w:r>
      <w:r>
        <w:t>cha alias Shachinta, age 24 years (5) (i) Mutum Herojit Singh, age 28 years (ii) Mutum Rajen, age 22 years (6) Ngangbam Naoba alias Phulchand Singh, age 27 years (7) Sapam Gitachandra Singh, age 22 years (8) (i) Kabrambam Premjit Singh, (ii) Elangbam Kanto</w:t>
      </w:r>
      <w:r>
        <w:t xml:space="preserve"> Singh (9) Longjam Uttamkumar Singh, age 34 years (10) Loitongbam Satish @ Tomba Singh, age 34 years (11) Thockhom Inao @ Herojit Singh, age 31 years, (12) Khumallambam Debeshower Singh (13) (i) Km. Yumnam Robita Devi (ii) Angom Romajitn Singh (14) Thoudem</w:t>
      </w:r>
      <w:r>
        <w:t xml:space="preserve"> Shantikumar Singh (all from “Compilation 2”).</w:t>
      </w:r>
    </w:p>
    <w:p w:rsidR="00A026C8" w:rsidRDefault="00D60EF9">
      <w:pPr>
        <w:pStyle w:val="Bodytext0"/>
        <w:numPr>
          <w:ilvl w:val="0"/>
          <w:numId w:val="1"/>
        </w:numPr>
        <w:shd w:val="clear" w:color="auto" w:fill="auto"/>
        <w:spacing w:before="0" w:after="300" w:line="322" w:lineRule="exact"/>
        <w:ind w:left="20" w:right="40"/>
        <w:jc w:val="both"/>
      </w:pPr>
      <w:r>
        <w:t xml:space="preserve"> In all those cases the judicial inquiry found that the victims were not members of any insurgent or unlawful groups and they were killed by the police or security forces in cold blood and stage-managed encoun</w:t>
      </w:r>
      <w:r>
        <w:t>ters. It is stated on behalf of the petitioners that though it was established in the judicial enquiry that those persons were victims of extra-judicial executions, the High Court simply directed for payment of monetary compensation to the kins of the vict</w:t>
      </w:r>
      <w:r>
        <w:t xml:space="preserve">ims. Learned Counsel for the petitioners submitted that payment of rupees two to four lakhs for killing a person from funds that are not subjected to any audit, instead of any accountability for cold blooded murder, perfectly suits the security forces and </w:t>
      </w:r>
      <w:r>
        <w:t>they only get encouraged to carry out further killings with impunity. On a careful consideration of the averments made in the writ petition and the counter affidavits filed by the respondents and on hearing Ms Guruswamy, the amicus, Mr. Gonsalves the learn</w:t>
      </w:r>
      <w:r>
        <w:t>ed counsel appearing for the writ petitioners, Mr. Kuhad, the Additional Solicitor General appearing for the Union of India, Mr. Ranjit Kumar, senior advocate appearing for the State of Manipur and Ms. Shobha, advocate appearing for the NHRC, we find it im</w:t>
      </w:r>
      <w:r>
        <w:t>possible to overlook the matter without further investigation. We are clearly of the view that this matter requires further careful and deeper consideration.</w:t>
      </w:r>
    </w:p>
    <w:p w:rsidR="00A026C8" w:rsidRDefault="00D60EF9">
      <w:pPr>
        <w:pStyle w:val="Bodytext0"/>
        <w:numPr>
          <w:ilvl w:val="0"/>
          <w:numId w:val="1"/>
        </w:numPr>
        <w:shd w:val="clear" w:color="auto" w:fill="auto"/>
        <w:spacing w:before="0" w:after="349" w:line="322" w:lineRule="exact"/>
        <w:ind w:left="20" w:right="40"/>
        <w:jc w:val="both"/>
      </w:pPr>
      <w:r>
        <w:t xml:space="preserve"> The writ petitioners make the prayer to constitute a Special Investigation Team comprising police officers from outside Manipur to investigate the cases of unlawful killings listed in the writ petition and to prosecute the alleged offenders but at this st</w:t>
      </w:r>
      <w:r>
        <w:t>age we are not inclined to appoint any Special investigation Team or to direct any investigation under the Code of Criminal Procedure. Instead, we would first like to be fully satisfied about the truth of the allegations concerning the cases cited by the w</w:t>
      </w:r>
      <w:r>
        <w:t>rit petitioners. To that end, we propose to appoint a high powered commission that would tell us the correct facts in regard to the killings of victims in the cases cited by the petitioners. We, accordingly, constitute a three-member commission as under:</w:t>
      </w:r>
    </w:p>
    <w:p w:rsidR="00A026C8" w:rsidRDefault="00D60EF9">
      <w:pPr>
        <w:pStyle w:val="Bodytext0"/>
        <w:numPr>
          <w:ilvl w:val="0"/>
          <w:numId w:val="3"/>
        </w:numPr>
        <w:shd w:val="clear" w:color="auto" w:fill="auto"/>
        <w:spacing w:before="0" w:line="260" w:lineRule="exact"/>
        <w:ind w:left="740"/>
        <w:jc w:val="left"/>
      </w:pPr>
      <w:r>
        <w:t xml:space="preserve"> </w:t>
      </w:r>
      <w:r>
        <w:t>Mr. Justice N. Santosh Hegde, a former Judge of the Supreme Court of</w:t>
      </w:r>
    </w:p>
    <w:p w:rsidR="00A026C8" w:rsidRDefault="00D60EF9">
      <w:pPr>
        <w:pStyle w:val="Bodytext0"/>
        <w:shd w:val="clear" w:color="auto" w:fill="auto"/>
        <w:spacing w:before="0"/>
        <w:ind w:left="740"/>
        <w:jc w:val="left"/>
      </w:pPr>
      <w:r>
        <w:t>India, as Chairperson</w:t>
      </w:r>
    </w:p>
    <w:p w:rsidR="00A026C8" w:rsidRDefault="00D60EF9">
      <w:pPr>
        <w:pStyle w:val="Bodytext0"/>
        <w:numPr>
          <w:ilvl w:val="0"/>
          <w:numId w:val="3"/>
        </w:numPr>
        <w:shd w:val="clear" w:color="auto" w:fill="auto"/>
        <w:spacing w:before="0"/>
        <w:ind w:left="740"/>
        <w:jc w:val="left"/>
      </w:pPr>
      <w:r>
        <w:t xml:space="preserve"> Mr. J. M. Lyngdoh, former Chief Election Commissioner, as Member</w:t>
      </w:r>
    </w:p>
    <w:p w:rsidR="00A026C8" w:rsidRDefault="00D60EF9">
      <w:pPr>
        <w:pStyle w:val="Bodytext0"/>
        <w:numPr>
          <w:ilvl w:val="0"/>
          <w:numId w:val="3"/>
        </w:numPr>
        <w:shd w:val="clear" w:color="auto" w:fill="auto"/>
        <w:spacing w:before="0"/>
        <w:ind w:left="740"/>
        <w:jc w:val="left"/>
      </w:pPr>
      <w:r>
        <w:t xml:space="preserve"> Mr. Ajay Kumar Singh, former DGP and IGP, Karnataka.</w:t>
      </w:r>
    </w:p>
    <w:p w:rsidR="00A026C8" w:rsidRDefault="00D60EF9">
      <w:pPr>
        <w:pStyle w:val="Bodytext0"/>
        <w:numPr>
          <w:ilvl w:val="0"/>
          <w:numId w:val="1"/>
        </w:numPr>
        <w:shd w:val="clear" w:color="auto" w:fill="auto"/>
        <w:spacing w:before="0" w:after="300" w:line="322" w:lineRule="exact"/>
        <w:ind w:left="20" w:right="40"/>
        <w:jc w:val="both"/>
      </w:pPr>
      <w:r>
        <w:t xml:space="preserve"> We request the Commission to make a thorough</w:t>
      </w:r>
      <w:r>
        <w:t xml:space="preserve"> enquiry in the first six cases as detailed in “Compilation 1”, filed by the petitioners and record a finding regarding the past antecedents of the victims and the circumstances in which they were killed. The State Government and all other concerned agenci</w:t>
      </w:r>
      <w:r>
        <w:t xml:space="preserve">es are directed to hand over to the Commission, without any delay, all records, materials and evidences relating to the cases, as directed above, for holding the enquiry. It will be open to the Commission to take statements of witnesses in connection with </w:t>
      </w:r>
      <w:r>
        <w:t>the enquiry conducted by it and it will, of course, be free to devise its own procedure for holding the enquiry. In light of the enquiries made by it, the Commission will also address the larger question of the role of the State Police and the security for</w:t>
      </w:r>
      <w:r>
        <w:t xml:space="preserve">ces in Manipur. The Commission will also make a report regarding the functioning of the State Police and security forces in the State of Manipur and in case it finds that the actions of the police and/or the security forces transgress the legal bounds the </w:t>
      </w:r>
      <w:r>
        <w:t>Commission shall make its recommendations for keeping the police and the security forces within the legal bounds without compromising the fight against insurgency. The Commission is requested to give its report within twelve weeks from today.</w:t>
      </w:r>
    </w:p>
    <w:p w:rsidR="00A026C8" w:rsidRDefault="00D60EF9">
      <w:pPr>
        <w:pStyle w:val="Bodytext0"/>
        <w:numPr>
          <w:ilvl w:val="0"/>
          <w:numId w:val="1"/>
        </w:numPr>
        <w:shd w:val="clear" w:color="auto" w:fill="auto"/>
        <w:spacing w:before="0" w:after="349" w:line="322" w:lineRule="exact"/>
        <w:ind w:left="20" w:right="40"/>
        <w:jc w:val="both"/>
      </w:pPr>
      <w:r>
        <w:t xml:space="preserve"> The Central </w:t>
      </w:r>
      <w:r>
        <w:t>Government and the Government of the State of Manipur are directed to extend full facilities, including manpower support and secretarial assistance as may be desired by the Commission to effectively and expeditiously carry out the task assigned to it by th</w:t>
      </w:r>
      <w:r>
        <w:t>e Court. The Registry is directed to furnish a copy of this order and complete sets of briefs in both the writ petitions to each of the members of the Commission forthwith.</w:t>
      </w:r>
    </w:p>
    <w:p w:rsidR="00A026C8" w:rsidRDefault="00D60EF9">
      <w:pPr>
        <w:pStyle w:val="Bodytext0"/>
        <w:numPr>
          <w:ilvl w:val="0"/>
          <w:numId w:val="1"/>
        </w:numPr>
        <w:shd w:val="clear" w:color="auto" w:fill="auto"/>
        <w:spacing w:before="0" w:after="657" w:line="260" w:lineRule="exact"/>
        <w:ind w:left="20"/>
        <w:jc w:val="both"/>
      </w:pPr>
      <w:r>
        <w:t xml:space="preserve"> Put up on receipt of the report by the Commission.</w:t>
      </w:r>
    </w:p>
    <w:p w:rsidR="00A026C8" w:rsidRDefault="00D60EF9">
      <w:pPr>
        <w:pStyle w:val="Bodytext0"/>
        <w:shd w:val="clear" w:color="auto" w:fill="auto"/>
        <w:spacing w:before="0" w:line="260" w:lineRule="exact"/>
        <w:ind w:left="20"/>
        <w:jc w:val="both"/>
      </w:pPr>
      <w:r>
        <w:t>[1] (1997) 3 SCC 433</w:t>
      </w:r>
    </w:p>
    <w:sectPr w:rsidR="00A026C8" w:rsidSect="00A026C8">
      <w:type w:val="continuous"/>
      <w:pgSz w:w="12240" w:h="15840"/>
      <w:pgMar w:top="1502" w:right="1412" w:bottom="1502" w:left="142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EF9" w:rsidRDefault="00D60EF9" w:rsidP="00A026C8">
      <w:r>
        <w:separator/>
      </w:r>
    </w:p>
  </w:endnote>
  <w:endnote w:type="continuationSeparator" w:id="1">
    <w:p w:rsidR="00D60EF9" w:rsidRDefault="00D60EF9" w:rsidP="00A026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EF9" w:rsidRDefault="00D60EF9"/>
  </w:footnote>
  <w:footnote w:type="continuationSeparator" w:id="1">
    <w:p w:rsidR="00D60EF9" w:rsidRDefault="00D60EF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C483E"/>
    <w:multiLevelType w:val="multilevel"/>
    <w:tmpl w:val="784C6F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E20911"/>
    <w:multiLevelType w:val="multilevel"/>
    <w:tmpl w:val="F69089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1EA7432"/>
    <w:multiLevelType w:val="multilevel"/>
    <w:tmpl w:val="F19A20F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A026C8"/>
    <w:rsid w:val="00241B0B"/>
    <w:rsid w:val="00A026C8"/>
    <w:rsid w:val="00D60E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026C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026C8"/>
    <w:rPr>
      <w:color w:val="0066CC"/>
      <w:u w:val="single"/>
    </w:rPr>
  </w:style>
  <w:style w:type="character" w:customStyle="1" w:styleId="Bodytext2">
    <w:name w:val="Body text (2)_"/>
    <w:basedOn w:val="DefaultParagraphFont"/>
    <w:link w:val="Bodytext20"/>
    <w:rsid w:val="00A026C8"/>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A026C8"/>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A026C8"/>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A026C8"/>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3453</Words>
  <Characters>19687</Characters>
  <Application>Microsoft Office Word</Application>
  <DocSecurity>0</DocSecurity>
  <Lines>164</Lines>
  <Paragraphs>46</Paragraphs>
  <ScaleCrop>false</ScaleCrop>
  <Company/>
  <LinksUpToDate>false</LinksUpToDate>
  <CharactersWithSpaces>23094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2017-06-01T11:02:00Z</dcterms:created>
  <dcterms:modified xsi:type="dcterms:W3CDTF">2017-06-01T11:02:00Z</dcterms:modified>
</cp:coreProperties>
</file>