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8F" w:rsidRPr="001942DD" w:rsidRDefault="00716F79">
      <w:pPr>
        <w:pStyle w:val="Bodytext20"/>
        <w:shd w:val="clear" w:color="auto" w:fill="auto"/>
        <w:spacing w:after="22" w:line="240" w:lineRule="exact"/>
        <w:ind w:left="280"/>
        <w:rPr>
          <w:sz w:val="25"/>
          <w:szCs w:val="25"/>
        </w:rPr>
      </w:pPr>
      <w:r w:rsidRPr="001942DD">
        <w:rPr>
          <w:sz w:val="25"/>
          <w:szCs w:val="25"/>
        </w:rPr>
        <w:t>SUPREME COURT OF INDI</w:t>
      </w:r>
    </w:p>
    <w:p w:rsidR="001942DD" w:rsidRDefault="00716F79">
      <w:pPr>
        <w:pStyle w:val="Bodytext0"/>
        <w:shd w:val="clear" w:color="auto" w:fill="auto"/>
        <w:spacing w:before="0"/>
        <w:ind w:left="280"/>
        <w:rPr>
          <w:sz w:val="25"/>
          <w:szCs w:val="25"/>
        </w:rPr>
      </w:pPr>
      <w:r w:rsidRPr="001942DD">
        <w:rPr>
          <w:sz w:val="25"/>
          <w:szCs w:val="25"/>
        </w:rPr>
        <w:t xml:space="preserve">Shyam Lal Verma </w:t>
      </w:r>
    </w:p>
    <w:p w:rsidR="00B54A8F" w:rsidRPr="001942DD" w:rsidRDefault="00716F79">
      <w:pPr>
        <w:pStyle w:val="Bodytext0"/>
        <w:shd w:val="clear" w:color="auto" w:fill="auto"/>
        <w:spacing w:before="0"/>
        <w:ind w:left="280"/>
        <w:rPr>
          <w:sz w:val="25"/>
          <w:szCs w:val="25"/>
        </w:rPr>
      </w:pPr>
      <w:r w:rsidRPr="001942DD">
        <w:rPr>
          <w:sz w:val="25"/>
          <w:szCs w:val="25"/>
        </w:rPr>
        <w:t>Vs.</w:t>
      </w:r>
    </w:p>
    <w:p w:rsidR="001942DD" w:rsidRDefault="00716F79">
      <w:pPr>
        <w:pStyle w:val="Bodytext0"/>
        <w:shd w:val="clear" w:color="auto" w:fill="auto"/>
        <w:spacing w:before="0"/>
        <w:ind w:left="280"/>
        <w:rPr>
          <w:sz w:val="25"/>
          <w:szCs w:val="25"/>
        </w:rPr>
      </w:pPr>
      <w:r w:rsidRPr="001942DD">
        <w:rPr>
          <w:sz w:val="25"/>
          <w:szCs w:val="25"/>
        </w:rPr>
        <w:t xml:space="preserve">Central Bureau of Investigation </w:t>
      </w:r>
    </w:p>
    <w:p w:rsidR="001942DD" w:rsidRDefault="00716F79">
      <w:pPr>
        <w:pStyle w:val="Bodytext0"/>
        <w:shd w:val="clear" w:color="auto" w:fill="auto"/>
        <w:spacing w:before="0"/>
        <w:ind w:left="280"/>
        <w:rPr>
          <w:sz w:val="25"/>
          <w:szCs w:val="25"/>
        </w:rPr>
      </w:pPr>
      <w:r w:rsidRPr="001942DD">
        <w:rPr>
          <w:sz w:val="25"/>
          <w:szCs w:val="25"/>
        </w:rPr>
        <w:t xml:space="preserve">Crl.A.No.171 of 2013 </w:t>
      </w:r>
    </w:p>
    <w:p w:rsidR="00B54A8F" w:rsidRPr="001942DD" w:rsidRDefault="00716F79">
      <w:pPr>
        <w:pStyle w:val="Bodytext0"/>
        <w:shd w:val="clear" w:color="auto" w:fill="auto"/>
        <w:spacing w:before="0"/>
        <w:ind w:left="280"/>
        <w:rPr>
          <w:sz w:val="25"/>
          <w:szCs w:val="25"/>
        </w:rPr>
      </w:pPr>
      <w:r w:rsidRPr="001942DD">
        <w:rPr>
          <w:sz w:val="25"/>
          <w:szCs w:val="25"/>
        </w:rPr>
        <w:t>(P. Sathasivam and Jagdish Singh Khehar, JJ.)</w:t>
      </w:r>
    </w:p>
    <w:p w:rsidR="00B54A8F" w:rsidRPr="001942DD" w:rsidRDefault="00716F79">
      <w:pPr>
        <w:pStyle w:val="Bodytext0"/>
        <w:shd w:val="clear" w:color="auto" w:fill="auto"/>
        <w:spacing w:before="0"/>
        <w:ind w:left="280"/>
        <w:rPr>
          <w:sz w:val="25"/>
          <w:szCs w:val="25"/>
        </w:rPr>
      </w:pPr>
      <w:r w:rsidRPr="001942DD">
        <w:rPr>
          <w:sz w:val="25"/>
          <w:szCs w:val="25"/>
        </w:rPr>
        <w:t>21.01.2013</w:t>
      </w:r>
    </w:p>
    <w:p w:rsidR="00B54A8F" w:rsidRPr="001942DD" w:rsidRDefault="00716F79">
      <w:pPr>
        <w:pStyle w:val="Bodytext20"/>
        <w:shd w:val="clear" w:color="auto" w:fill="auto"/>
        <w:spacing w:after="0" w:line="586" w:lineRule="exact"/>
        <w:ind w:left="280"/>
        <w:rPr>
          <w:sz w:val="25"/>
          <w:szCs w:val="25"/>
        </w:rPr>
      </w:pPr>
      <w:r w:rsidRPr="001942DD">
        <w:rPr>
          <w:sz w:val="25"/>
          <w:szCs w:val="25"/>
        </w:rPr>
        <w:t>ORDER</w:t>
      </w:r>
    </w:p>
    <w:p w:rsidR="00B54A8F" w:rsidRPr="001942DD" w:rsidRDefault="00716F79">
      <w:pPr>
        <w:pStyle w:val="Bodytext20"/>
        <w:shd w:val="clear" w:color="auto" w:fill="auto"/>
        <w:spacing w:after="0" w:line="586" w:lineRule="exact"/>
        <w:ind w:left="20"/>
        <w:jc w:val="both"/>
        <w:rPr>
          <w:sz w:val="25"/>
          <w:szCs w:val="25"/>
        </w:rPr>
      </w:pPr>
      <w:r w:rsidRPr="001942DD">
        <w:rPr>
          <w:sz w:val="25"/>
          <w:szCs w:val="25"/>
        </w:rPr>
        <w:t>P. Sathasivam, J.</w:t>
      </w:r>
    </w:p>
    <w:p w:rsidR="00B54A8F" w:rsidRPr="001942DD" w:rsidRDefault="00716F79">
      <w:pPr>
        <w:pStyle w:val="Bodytext0"/>
        <w:numPr>
          <w:ilvl w:val="0"/>
          <w:numId w:val="1"/>
        </w:numPr>
        <w:shd w:val="clear" w:color="auto" w:fill="auto"/>
        <w:spacing w:before="0"/>
        <w:ind w:left="20"/>
        <w:jc w:val="both"/>
        <w:rPr>
          <w:sz w:val="25"/>
          <w:szCs w:val="25"/>
        </w:rPr>
      </w:pPr>
      <w:r w:rsidRPr="001942DD">
        <w:rPr>
          <w:sz w:val="25"/>
          <w:szCs w:val="25"/>
        </w:rPr>
        <w:t xml:space="preserve"> Leave granted.</w:t>
      </w:r>
    </w:p>
    <w:p w:rsidR="00B54A8F" w:rsidRPr="001942DD" w:rsidRDefault="00716F79">
      <w:pPr>
        <w:pStyle w:val="Bodytext0"/>
        <w:numPr>
          <w:ilvl w:val="0"/>
          <w:numId w:val="1"/>
        </w:numPr>
        <w:shd w:val="clear" w:color="auto" w:fill="auto"/>
        <w:spacing w:before="0" w:after="240" w:line="293" w:lineRule="exact"/>
        <w:ind w:left="20" w:right="280"/>
        <w:jc w:val="both"/>
        <w:rPr>
          <w:sz w:val="25"/>
          <w:szCs w:val="25"/>
        </w:rPr>
      </w:pPr>
      <w:r w:rsidRPr="001942DD">
        <w:rPr>
          <w:sz w:val="25"/>
          <w:szCs w:val="25"/>
        </w:rPr>
        <w:t xml:space="preserve"> The appellant is a retired employee of Post Office. The incident occurred in 1993-94. The allegation against him is that he misappropriated to the extent of Rs.1,35,240/- (Rupees one lakh thirty five thousand and two hundred forty). The employees of vario</w:t>
      </w:r>
      <w:r w:rsidRPr="001942DD">
        <w:rPr>
          <w:sz w:val="25"/>
          <w:szCs w:val="25"/>
        </w:rPr>
        <w:t>us departments deposited their amount, but the appellant did not remit the amount and failed to make entry in the ledger. He was charged under Section 477-A IPC read with Section 3(1) (c) and 13(2) of the Prevention of Corruption Act 1988.</w:t>
      </w:r>
    </w:p>
    <w:p w:rsidR="00B54A8F" w:rsidRPr="001942DD" w:rsidRDefault="00716F79">
      <w:pPr>
        <w:pStyle w:val="Bodytext0"/>
        <w:numPr>
          <w:ilvl w:val="0"/>
          <w:numId w:val="1"/>
        </w:numPr>
        <w:shd w:val="clear" w:color="auto" w:fill="auto"/>
        <w:spacing w:before="0" w:after="202" w:line="293" w:lineRule="exact"/>
        <w:ind w:left="20" w:right="280"/>
        <w:jc w:val="both"/>
        <w:rPr>
          <w:sz w:val="25"/>
          <w:szCs w:val="25"/>
        </w:rPr>
      </w:pPr>
      <w:r w:rsidRPr="001942DD">
        <w:rPr>
          <w:sz w:val="25"/>
          <w:szCs w:val="25"/>
        </w:rPr>
        <w:t xml:space="preserve"> After fullflege</w:t>
      </w:r>
      <w:r w:rsidRPr="001942DD">
        <w:rPr>
          <w:sz w:val="25"/>
          <w:szCs w:val="25"/>
        </w:rPr>
        <w:t>d trial, the Trial Court convicted him under the above mentioned Sections. However, instead of awarding sentence, the Trial Court released the appellant under theProbation of Offenders Act,1958 on executing a personal bond in the sum of Rs.50,000/- and fur</w:t>
      </w:r>
      <w:r w:rsidRPr="001942DD">
        <w:rPr>
          <w:sz w:val="25"/>
          <w:szCs w:val="25"/>
        </w:rPr>
        <w:t>nishing two sureties each of the like amount for a period of one year. He was also directed to maintain peace and good behavior during this period.</w:t>
      </w:r>
    </w:p>
    <w:p w:rsidR="00B54A8F" w:rsidRPr="001942DD" w:rsidRDefault="00716F79">
      <w:pPr>
        <w:pStyle w:val="Bodytext0"/>
        <w:shd w:val="clear" w:color="auto" w:fill="auto"/>
        <w:spacing w:before="0" w:after="279" w:line="341" w:lineRule="exact"/>
        <w:ind w:left="20" w:right="280"/>
        <w:jc w:val="both"/>
        <w:rPr>
          <w:sz w:val="25"/>
          <w:szCs w:val="25"/>
        </w:rPr>
      </w:pPr>
      <w:r w:rsidRPr="001942DD">
        <w:rPr>
          <w:sz w:val="25"/>
          <w:szCs w:val="25"/>
        </w:rPr>
        <w:t>...2/</w:t>
      </w:r>
      <w:r w:rsidRPr="001942DD">
        <w:rPr>
          <w:sz w:val="25"/>
          <w:szCs w:val="25"/>
        </w:rPr>
        <w:softHyphen/>
      </w:r>
      <w:r w:rsidRPr="001942DD">
        <w:rPr>
          <w:sz w:val="25"/>
          <w:szCs w:val="25"/>
        </w:rPr>
        <w:t>4. Aggrieved by the above decision of the Trial Court, the CBI filed an appeal before the High Court. Admittedly, the accused did not file any appeal challenging the order of conviction. By the impugned order, the High Court allowed the appeal of the CBI a</w:t>
      </w:r>
      <w:r w:rsidRPr="001942DD">
        <w:rPr>
          <w:sz w:val="25"/>
          <w:szCs w:val="25"/>
        </w:rPr>
        <w:t xml:space="preserve">nd sentenced him for a period of one year under Sections 477-A IPC and under Section </w:t>
      </w:r>
      <w:hyperlink r:id="rId7" w:history="1">
        <w:r w:rsidRPr="001942DD">
          <w:rPr>
            <w:rStyle w:val="Hyperlink"/>
            <w:sz w:val="25"/>
            <w:szCs w:val="25"/>
          </w:rPr>
          <w:t>13(1)(c) read with Section 13(2) for a further period of one year. Both the sentences were</w:t>
        </w:r>
      </w:hyperlink>
      <w:r w:rsidRPr="001942DD">
        <w:rPr>
          <w:sz w:val="25"/>
          <w:szCs w:val="25"/>
        </w:rPr>
        <w:t xml:space="preserve"> </w:t>
      </w:r>
      <w:hyperlink r:id="rId8" w:history="1">
        <w:r w:rsidRPr="001942DD">
          <w:rPr>
            <w:rStyle w:val="Hyperlink"/>
            <w:sz w:val="25"/>
            <w:szCs w:val="25"/>
          </w:rPr>
          <w:t>directed to run concurrently.</w:t>
        </w:r>
      </w:hyperlink>
    </w:p>
    <w:p w:rsidR="00B54A8F" w:rsidRPr="001942DD" w:rsidRDefault="00B54A8F">
      <w:pPr>
        <w:pStyle w:val="Bodytext0"/>
        <w:numPr>
          <w:ilvl w:val="0"/>
          <w:numId w:val="2"/>
        </w:numPr>
        <w:shd w:val="clear" w:color="auto" w:fill="auto"/>
        <w:tabs>
          <w:tab w:val="left" w:pos="318"/>
        </w:tabs>
        <w:spacing w:before="0" w:line="293" w:lineRule="exact"/>
        <w:ind w:left="20" w:right="280"/>
        <w:jc w:val="both"/>
        <w:rPr>
          <w:sz w:val="25"/>
          <w:szCs w:val="25"/>
        </w:rPr>
      </w:pPr>
      <w:hyperlink r:id="rId9" w:history="1">
        <w:r w:rsidR="00716F79" w:rsidRPr="001942DD">
          <w:rPr>
            <w:rStyle w:val="Hyperlink"/>
            <w:sz w:val="25"/>
            <w:szCs w:val="25"/>
          </w:rPr>
          <w:t>Questioning the order of the High Court sentencing him, as stated above, the accused</w:t>
        </w:r>
      </w:hyperlink>
      <w:r w:rsidR="00716F79" w:rsidRPr="001942DD">
        <w:rPr>
          <w:sz w:val="25"/>
          <w:szCs w:val="25"/>
        </w:rPr>
        <w:t xml:space="preserve"> </w:t>
      </w:r>
      <w:hyperlink r:id="rId10" w:history="1">
        <w:r w:rsidR="00716F79" w:rsidRPr="001942DD">
          <w:rPr>
            <w:rStyle w:val="Hyperlink"/>
            <w:sz w:val="25"/>
            <w:szCs w:val="25"/>
          </w:rPr>
          <w:t>preferred the present ap</w:t>
        </w:r>
        <w:r w:rsidR="00716F79" w:rsidRPr="001942DD">
          <w:rPr>
            <w:rStyle w:val="Hyperlink"/>
            <w:sz w:val="25"/>
            <w:szCs w:val="25"/>
          </w:rPr>
          <w:t>peal by way of special leave.</w:t>
        </w:r>
      </w:hyperlink>
    </w:p>
    <w:p w:rsidR="00B54A8F" w:rsidRPr="001942DD" w:rsidRDefault="00B54A8F">
      <w:pPr>
        <w:pStyle w:val="Bodytext0"/>
        <w:numPr>
          <w:ilvl w:val="0"/>
          <w:numId w:val="2"/>
        </w:numPr>
        <w:shd w:val="clear" w:color="auto" w:fill="auto"/>
        <w:spacing w:before="0" w:after="240" w:line="293" w:lineRule="exact"/>
        <w:ind w:right="20"/>
        <w:jc w:val="both"/>
        <w:rPr>
          <w:sz w:val="25"/>
          <w:szCs w:val="25"/>
        </w:rPr>
      </w:pPr>
      <w:hyperlink r:id="rId11" w:history="1">
        <w:r w:rsidR="00716F79" w:rsidRPr="001942DD">
          <w:rPr>
            <w:rStyle w:val="Hyperlink"/>
            <w:sz w:val="25"/>
            <w:szCs w:val="25"/>
          </w:rPr>
          <w:t xml:space="preserve"> Heard learned senior counsel appearing on behalf of the appellant and learned counsel</w:t>
        </w:r>
      </w:hyperlink>
      <w:r w:rsidR="00716F79" w:rsidRPr="001942DD">
        <w:rPr>
          <w:sz w:val="25"/>
          <w:szCs w:val="25"/>
        </w:rPr>
        <w:t xml:space="preserve"> </w:t>
      </w:r>
      <w:hyperlink r:id="rId12" w:history="1">
        <w:r w:rsidR="00716F79" w:rsidRPr="001942DD">
          <w:rPr>
            <w:rStyle w:val="Hyperlink"/>
            <w:sz w:val="25"/>
            <w:szCs w:val="25"/>
          </w:rPr>
          <w:t xml:space="preserve">appearing on behalf of the respondent- </w:t>
        </w:r>
        <w:r w:rsidR="00716F79" w:rsidRPr="001942DD">
          <w:rPr>
            <w:rStyle w:val="Hyperlink"/>
            <w:sz w:val="25"/>
            <w:szCs w:val="25"/>
          </w:rPr>
          <w:t>CBI.</w:t>
        </w:r>
      </w:hyperlink>
    </w:p>
    <w:p w:rsidR="00B54A8F" w:rsidRPr="001942DD" w:rsidRDefault="00B54A8F">
      <w:pPr>
        <w:pStyle w:val="Bodytext0"/>
        <w:numPr>
          <w:ilvl w:val="0"/>
          <w:numId w:val="2"/>
        </w:numPr>
        <w:shd w:val="clear" w:color="auto" w:fill="auto"/>
        <w:spacing w:before="0" w:after="206" w:line="293" w:lineRule="exact"/>
        <w:ind w:right="20"/>
        <w:jc w:val="both"/>
        <w:rPr>
          <w:sz w:val="25"/>
          <w:szCs w:val="25"/>
        </w:rPr>
      </w:pPr>
      <w:hyperlink r:id="rId13" w:history="1">
        <w:r w:rsidR="00716F79" w:rsidRPr="001942DD">
          <w:rPr>
            <w:rStyle w:val="Hyperlink"/>
            <w:sz w:val="25"/>
            <w:szCs w:val="25"/>
          </w:rPr>
          <w:t xml:space="preserve"> The only point for consideration in this appeal is, whether the Probation of Offenders</w:t>
        </w:r>
      </w:hyperlink>
      <w:r w:rsidR="00716F79" w:rsidRPr="001942DD">
        <w:rPr>
          <w:sz w:val="25"/>
          <w:szCs w:val="25"/>
        </w:rPr>
        <w:t xml:space="preserve"> </w:t>
      </w:r>
      <w:hyperlink r:id="rId14" w:history="1">
        <w:r w:rsidR="00716F79" w:rsidRPr="001942DD">
          <w:rPr>
            <w:rStyle w:val="Hyperlink"/>
            <w:sz w:val="25"/>
            <w:szCs w:val="25"/>
          </w:rPr>
          <w:t>Act is applicable to offences under the Prevention of Corruptio</w:t>
        </w:r>
        <w:r w:rsidR="00716F79" w:rsidRPr="001942DD">
          <w:rPr>
            <w:rStyle w:val="Hyperlink"/>
            <w:sz w:val="25"/>
            <w:szCs w:val="25"/>
          </w:rPr>
          <w:t>n Act? The Trial Court</w:t>
        </w:r>
      </w:hyperlink>
      <w:r w:rsidR="00716F79" w:rsidRPr="001942DD">
        <w:rPr>
          <w:sz w:val="25"/>
          <w:szCs w:val="25"/>
        </w:rPr>
        <w:t xml:space="preserve"> </w:t>
      </w:r>
      <w:hyperlink r:id="rId15" w:history="1">
        <w:r w:rsidR="00716F79" w:rsidRPr="001942DD">
          <w:rPr>
            <w:rStyle w:val="Hyperlink"/>
            <w:sz w:val="25"/>
            <w:szCs w:val="25"/>
          </w:rPr>
          <w:t>applied Probation of Offenders Act and sentenced him accordingly. This was reversed by the</w:t>
        </w:r>
      </w:hyperlink>
      <w:r w:rsidR="00716F79" w:rsidRPr="001942DD">
        <w:rPr>
          <w:sz w:val="25"/>
          <w:szCs w:val="25"/>
        </w:rPr>
        <w:t xml:space="preserve"> </w:t>
      </w:r>
      <w:hyperlink r:id="rId16" w:history="1">
        <w:r w:rsidR="00716F79" w:rsidRPr="001942DD">
          <w:rPr>
            <w:rStyle w:val="Hyperlink"/>
            <w:sz w:val="25"/>
            <w:szCs w:val="25"/>
          </w:rPr>
          <w:t>High Court and ultimately imposed substant</w:t>
        </w:r>
        <w:r w:rsidR="00716F79" w:rsidRPr="001942DD">
          <w:rPr>
            <w:rStyle w:val="Hyperlink"/>
            <w:sz w:val="25"/>
            <w:szCs w:val="25"/>
          </w:rPr>
          <w:t>ive sentence of one year.</w:t>
        </w:r>
      </w:hyperlink>
    </w:p>
    <w:p w:rsidR="00B54A8F" w:rsidRPr="001942DD" w:rsidRDefault="00B54A8F">
      <w:pPr>
        <w:pStyle w:val="Bodytext0"/>
        <w:numPr>
          <w:ilvl w:val="0"/>
          <w:numId w:val="2"/>
        </w:numPr>
        <w:shd w:val="clear" w:color="auto" w:fill="auto"/>
        <w:spacing w:before="0" w:after="275" w:line="336" w:lineRule="exact"/>
        <w:ind w:right="20"/>
        <w:jc w:val="both"/>
        <w:rPr>
          <w:sz w:val="25"/>
          <w:szCs w:val="25"/>
        </w:rPr>
      </w:pPr>
      <w:hyperlink r:id="rId17" w:history="1">
        <w:r w:rsidR="00716F79" w:rsidRPr="001942DD">
          <w:rPr>
            <w:rStyle w:val="Hyperlink"/>
            <w:sz w:val="25"/>
            <w:szCs w:val="25"/>
          </w:rPr>
          <w:t xml:space="preserve"> It is not in dispute that the issue raised in this appeal has been considered by this Court in</w:t>
        </w:r>
        <w:r w:rsidR="00716F79" w:rsidRPr="001942DD">
          <w:rPr>
            <w:rStyle w:val="Hyperlink"/>
            <w:sz w:val="25"/>
            <w:szCs w:val="25"/>
          </w:rPr>
          <w:softHyphen/>
        </w:r>
      </w:hyperlink>
      <w:hyperlink r:id="rId18" w:history="1">
        <w:r w:rsidR="00716F79" w:rsidRPr="001942DD">
          <w:rPr>
            <w:rStyle w:val="Hyperlink"/>
            <w:sz w:val="25"/>
            <w:szCs w:val="25"/>
          </w:rPr>
          <w:t xml:space="preserve">state Through SP, </w:t>
        </w:r>
        <w:r w:rsidR="00716F79" w:rsidRPr="001942DD">
          <w:rPr>
            <w:rStyle w:val="Hyperlink"/>
            <w:sz w:val="25"/>
            <w:szCs w:val="25"/>
          </w:rPr>
          <w:t>New Delhi Vs. Ra</w:t>
        </w:r>
        <w:r w:rsidR="00716F79" w:rsidRPr="001942DD">
          <w:rPr>
            <w:rStyle w:val="Hyperlink"/>
            <w:sz w:val="25"/>
            <w:szCs w:val="25"/>
          </w:rPr>
          <w:t>tan lal Arora</w:t>
        </w:r>
        <w:r w:rsidR="00716F79" w:rsidRPr="001942DD">
          <w:rPr>
            <w:rStyle w:val="Hyperlink"/>
            <w:sz w:val="25"/>
            <w:szCs w:val="25"/>
            <w:vertAlign w:val="superscript"/>
          </w:rPr>
          <w:t>1</w:t>
        </w:r>
        <w:r w:rsidR="00716F79" w:rsidRPr="001942DD">
          <w:rPr>
            <w:rStyle w:val="Hyperlink"/>
            <w:sz w:val="25"/>
            <w:szCs w:val="25"/>
          </w:rPr>
          <w:t xml:space="preserve"> wherein in similar circumstances, this</w:t>
        </w:r>
      </w:hyperlink>
      <w:r w:rsidR="00716F79" w:rsidRPr="001942DD">
        <w:rPr>
          <w:sz w:val="25"/>
          <w:szCs w:val="25"/>
        </w:rPr>
        <w:t xml:space="preserve"> </w:t>
      </w:r>
      <w:hyperlink r:id="rId19" w:history="1">
        <w:r w:rsidR="00716F79" w:rsidRPr="001942DD">
          <w:rPr>
            <w:rStyle w:val="Hyperlink"/>
            <w:sz w:val="25"/>
            <w:szCs w:val="25"/>
          </w:rPr>
          <w:t>Court held that since Section 7 as well as Section 13 of the Prevention of Corruption Act</w:t>
        </w:r>
      </w:hyperlink>
      <w:r w:rsidR="00716F79" w:rsidRPr="001942DD">
        <w:rPr>
          <w:sz w:val="25"/>
          <w:szCs w:val="25"/>
        </w:rPr>
        <w:t xml:space="preserve"> </w:t>
      </w:r>
      <w:hyperlink r:id="rId20" w:history="1">
        <w:r w:rsidR="00716F79" w:rsidRPr="001942DD">
          <w:rPr>
            <w:rStyle w:val="Hyperlink"/>
            <w:sz w:val="25"/>
            <w:szCs w:val="25"/>
          </w:rPr>
          <w:t>...3/</w:t>
        </w:r>
        <w:r w:rsidR="00716F79" w:rsidRPr="001942DD">
          <w:rPr>
            <w:rStyle w:val="Hyperlink"/>
            <w:sz w:val="25"/>
            <w:szCs w:val="25"/>
          </w:rPr>
          <w:softHyphen/>
        </w:r>
      </w:hyperlink>
      <w:hyperlink r:id="rId21" w:history="1">
        <w:r w:rsidR="00716F79" w:rsidRPr="001942DD">
          <w:rPr>
            <w:rStyle w:val="Hyperlink"/>
            <w:sz w:val="25"/>
            <w:szCs w:val="25"/>
          </w:rPr>
          <w:t>Provide for a minimum sentence of six months and one year respectively in addition to the</w:t>
        </w:r>
      </w:hyperlink>
      <w:r w:rsidR="00716F79" w:rsidRPr="001942DD">
        <w:rPr>
          <w:sz w:val="25"/>
          <w:szCs w:val="25"/>
        </w:rPr>
        <w:t xml:space="preserve"> </w:t>
      </w:r>
      <w:hyperlink r:id="rId22" w:history="1">
        <w:r w:rsidR="00716F79" w:rsidRPr="001942DD">
          <w:rPr>
            <w:rStyle w:val="Hyperlink"/>
            <w:sz w:val="25"/>
            <w:szCs w:val="25"/>
          </w:rPr>
          <w:t>maximum sentences as well as imposition of fine, in such circumstance</w:t>
        </w:r>
        <w:r w:rsidR="00716F79" w:rsidRPr="001942DD">
          <w:rPr>
            <w:rStyle w:val="Hyperlink"/>
            <w:sz w:val="25"/>
            <w:szCs w:val="25"/>
          </w:rPr>
          <w:t>s claim for granting</w:t>
        </w:r>
      </w:hyperlink>
      <w:r w:rsidR="00716F79" w:rsidRPr="001942DD">
        <w:rPr>
          <w:sz w:val="25"/>
          <w:szCs w:val="25"/>
        </w:rPr>
        <w:t xml:space="preserve"> </w:t>
      </w:r>
      <w:hyperlink r:id="rId23" w:history="1">
        <w:r w:rsidR="00716F79" w:rsidRPr="001942DD">
          <w:rPr>
            <w:rStyle w:val="Hyperlink"/>
            <w:sz w:val="25"/>
            <w:szCs w:val="25"/>
          </w:rPr>
          <w:t>relief under the Probation of Offenders Act is not permissible. In other words, in cases where</w:t>
        </w:r>
      </w:hyperlink>
      <w:r w:rsidR="00716F79" w:rsidRPr="001942DD">
        <w:rPr>
          <w:sz w:val="25"/>
          <w:szCs w:val="25"/>
        </w:rPr>
        <w:t xml:space="preserve"> </w:t>
      </w:r>
      <w:hyperlink r:id="rId24" w:history="1">
        <w:r w:rsidR="00716F79" w:rsidRPr="001942DD">
          <w:rPr>
            <w:rStyle w:val="Hyperlink"/>
            <w:sz w:val="25"/>
            <w:szCs w:val="25"/>
          </w:rPr>
          <w:t>a specific provision prescribed a minimu</w:t>
        </w:r>
        <w:r w:rsidR="00716F79" w:rsidRPr="001942DD">
          <w:rPr>
            <w:rStyle w:val="Hyperlink"/>
            <w:sz w:val="25"/>
            <w:szCs w:val="25"/>
          </w:rPr>
          <w:t>m sentence, the provisions of the Probation</w:t>
        </w:r>
      </w:hyperlink>
      <w:r w:rsidR="00716F79" w:rsidRPr="001942DD">
        <w:rPr>
          <w:sz w:val="25"/>
          <w:szCs w:val="25"/>
        </w:rPr>
        <w:t xml:space="preserve"> </w:t>
      </w:r>
      <w:hyperlink r:id="rId25" w:history="1">
        <w:r w:rsidR="00716F79" w:rsidRPr="001942DD">
          <w:rPr>
            <w:rStyle w:val="Hyperlink"/>
            <w:sz w:val="25"/>
            <w:szCs w:val="25"/>
          </w:rPr>
          <w:t>Act cannot be invoked. Similar view has been expressed in- State Represented by Inspector</w:t>
        </w:r>
      </w:hyperlink>
      <w:r w:rsidR="00716F79" w:rsidRPr="001942DD">
        <w:rPr>
          <w:sz w:val="25"/>
          <w:szCs w:val="25"/>
        </w:rPr>
        <w:t xml:space="preserve"> </w:t>
      </w:r>
      <w:hyperlink r:id="rId26" w:history="1">
        <w:r w:rsidR="00716F79" w:rsidRPr="001942DD">
          <w:rPr>
            <w:rStyle w:val="Hyperlink"/>
            <w:sz w:val="25"/>
            <w:szCs w:val="25"/>
          </w:rPr>
          <w:t xml:space="preserve">of </w:t>
        </w:r>
        <w:r w:rsidR="00716F79" w:rsidRPr="001942DD">
          <w:rPr>
            <w:rStyle w:val="Hyperlink"/>
            <w:sz w:val="25"/>
            <w:szCs w:val="25"/>
          </w:rPr>
          <w:t>Police, Pudukot</w:t>
        </w:r>
        <w:r w:rsidR="00716F79" w:rsidRPr="001942DD">
          <w:rPr>
            <w:rStyle w:val="Hyperlink"/>
            <w:sz w:val="25"/>
            <w:szCs w:val="25"/>
          </w:rPr>
          <w:t>tai, T.N. Vs. A. Parthiban</w:t>
        </w:r>
        <w:r w:rsidR="00716F79" w:rsidRPr="001942DD">
          <w:rPr>
            <w:rStyle w:val="Hyperlink"/>
            <w:sz w:val="25"/>
            <w:szCs w:val="25"/>
            <w:vertAlign w:val="superscript"/>
          </w:rPr>
          <w:t>2</w:t>
        </w:r>
        <w:r w:rsidR="00716F79" w:rsidRPr="001942DD">
          <w:rPr>
            <w:rStyle w:val="Hyperlink"/>
            <w:sz w:val="25"/>
            <w:szCs w:val="25"/>
          </w:rPr>
          <w:t>.</w:t>
        </w:r>
      </w:hyperlink>
    </w:p>
    <w:p w:rsidR="00B54A8F" w:rsidRPr="001942DD" w:rsidRDefault="00B54A8F">
      <w:pPr>
        <w:pStyle w:val="Bodytext0"/>
        <w:numPr>
          <w:ilvl w:val="0"/>
          <w:numId w:val="2"/>
        </w:numPr>
        <w:shd w:val="clear" w:color="auto" w:fill="auto"/>
        <w:spacing w:before="0" w:after="240" w:line="293" w:lineRule="exact"/>
        <w:ind w:right="20"/>
        <w:jc w:val="both"/>
        <w:rPr>
          <w:sz w:val="25"/>
          <w:szCs w:val="25"/>
        </w:rPr>
      </w:pPr>
      <w:hyperlink r:id="rId27" w:history="1">
        <w:r w:rsidR="00716F79" w:rsidRPr="001942DD">
          <w:rPr>
            <w:rStyle w:val="Hyperlink"/>
            <w:sz w:val="25"/>
            <w:szCs w:val="25"/>
          </w:rPr>
          <w:t xml:space="preserve"> In view of the settled legal position, we find no valid ground to interfere with the</w:t>
        </w:r>
      </w:hyperlink>
      <w:r w:rsidR="00716F79" w:rsidRPr="001942DD">
        <w:rPr>
          <w:sz w:val="25"/>
          <w:szCs w:val="25"/>
        </w:rPr>
        <w:t xml:space="preserve"> </w:t>
      </w:r>
      <w:hyperlink r:id="rId28" w:history="1">
        <w:r w:rsidR="00716F79" w:rsidRPr="001942DD">
          <w:rPr>
            <w:rStyle w:val="Hyperlink"/>
            <w:sz w:val="25"/>
            <w:szCs w:val="25"/>
          </w:rPr>
          <w:t>impugned order of the High Court. Con</w:t>
        </w:r>
        <w:r w:rsidR="00716F79" w:rsidRPr="001942DD">
          <w:rPr>
            <w:rStyle w:val="Hyperlink"/>
            <w:sz w:val="25"/>
            <w:szCs w:val="25"/>
          </w:rPr>
          <w:t>sequently, the appeal is dismissed.</w:t>
        </w:r>
      </w:hyperlink>
    </w:p>
    <w:p w:rsidR="00B54A8F" w:rsidRPr="001942DD" w:rsidRDefault="00B54A8F">
      <w:pPr>
        <w:pStyle w:val="Bodytext0"/>
        <w:numPr>
          <w:ilvl w:val="0"/>
          <w:numId w:val="2"/>
        </w:numPr>
        <w:shd w:val="clear" w:color="auto" w:fill="auto"/>
        <w:spacing w:before="0" w:line="293" w:lineRule="exact"/>
        <w:ind w:right="20"/>
        <w:jc w:val="both"/>
        <w:rPr>
          <w:sz w:val="25"/>
          <w:szCs w:val="25"/>
        </w:rPr>
      </w:pPr>
      <w:hyperlink r:id="rId29" w:history="1">
        <w:r w:rsidR="00716F79" w:rsidRPr="001942DD">
          <w:rPr>
            <w:rStyle w:val="Hyperlink"/>
            <w:sz w:val="25"/>
            <w:szCs w:val="25"/>
          </w:rPr>
          <w:t xml:space="preserve"> In view of the dismissal of the appeal, the appellant shall surrender and has to undergo</w:t>
        </w:r>
      </w:hyperlink>
      <w:r w:rsidR="00716F79" w:rsidRPr="001942DD">
        <w:rPr>
          <w:sz w:val="25"/>
          <w:szCs w:val="25"/>
        </w:rPr>
        <w:t xml:space="preserve"> </w:t>
      </w:r>
      <w:hyperlink r:id="rId30" w:history="1">
        <w:r w:rsidR="00716F79" w:rsidRPr="001942DD">
          <w:rPr>
            <w:rStyle w:val="Hyperlink"/>
            <w:sz w:val="25"/>
            <w:szCs w:val="25"/>
          </w:rPr>
          <w:t>remaining period of senten</w:t>
        </w:r>
        <w:r w:rsidR="00716F79" w:rsidRPr="001942DD">
          <w:rPr>
            <w:rStyle w:val="Hyperlink"/>
            <w:sz w:val="25"/>
            <w:szCs w:val="25"/>
          </w:rPr>
          <w:t>ce. His bail bonds executed pursuant to our order dated</w:t>
        </w:r>
      </w:hyperlink>
      <w:r w:rsidR="00716F79" w:rsidRPr="001942DD">
        <w:rPr>
          <w:sz w:val="25"/>
          <w:szCs w:val="25"/>
        </w:rPr>
        <w:t xml:space="preserve"> </w:t>
      </w:r>
      <w:hyperlink r:id="rId31" w:history="1">
        <w:r w:rsidR="00716F79" w:rsidRPr="001942DD">
          <w:rPr>
            <w:rStyle w:val="Hyperlink"/>
            <w:sz w:val="25"/>
            <w:szCs w:val="25"/>
          </w:rPr>
          <w:t>05.07.2012 shall stand cancelled.</w:t>
        </w:r>
      </w:hyperlink>
    </w:p>
    <w:sectPr w:rsidR="00B54A8F" w:rsidRPr="001942DD" w:rsidSect="00B54A8F">
      <w:footerReference w:type="default" r:id="rId32"/>
      <w:type w:val="continuous"/>
      <w:pgSz w:w="12240" w:h="15840"/>
      <w:pgMar w:top="1260" w:right="1286" w:bottom="1711"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F79" w:rsidRDefault="00716F79" w:rsidP="00B54A8F">
      <w:r>
        <w:separator/>
      </w:r>
    </w:p>
  </w:endnote>
  <w:endnote w:type="continuationSeparator" w:id="1">
    <w:p w:rsidR="00716F79" w:rsidRDefault="00716F79" w:rsidP="00B54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8F" w:rsidRDefault="00B54A8F">
    <w:pPr>
      <w:rPr>
        <w:sz w:val="2"/>
        <w:szCs w:val="2"/>
      </w:rPr>
    </w:pPr>
    <w:r w:rsidRPr="00B54A8F">
      <w:pict>
        <v:shapetype id="_x0000_t202" coordsize="21600,21600" o:spt="202" path="m,l,21600r21600,l21600,xe">
          <v:stroke joinstyle="miter"/>
          <v:path gradientshapeok="t" o:connecttype="rect"/>
        </v:shapetype>
        <v:shape id="_x0000_s1025" type="#_x0000_t202" style="position:absolute;margin-left:297.8pt;margin-top:719.9pt;width:218.4pt;height:10.1pt;z-index:-251658752;mso-wrap-distance-left:5pt;mso-wrap-distance-right:5pt;mso-position-horizontal-relative:page;mso-position-vertical-relative:page" wrapcoords="0 0" filled="f" stroked="f">
          <v:textbox style="mso-fit-shape-to-text:t" inset="0,0,0,0">
            <w:txbxContent>
              <w:p w:rsidR="00B54A8F" w:rsidRDefault="00B54A8F">
                <w:pPr>
                  <w:pStyle w:val="Headerorfooter0"/>
                  <w:shd w:val="clear" w:color="auto" w:fill="auto"/>
                  <w:tabs>
                    <w:tab w:val="right" w:pos="4368"/>
                  </w:tabs>
                  <w:spacing w:line="240" w:lineRule="auto"/>
                </w:pPr>
                <w:fldSimple w:instr=" PAGE \* MERGEFORMAT ">
                  <w:r w:rsidR="00716F79" w:rsidRPr="00716F79">
                    <w:rPr>
                      <w:rStyle w:val="Headerorfooter1"/>
                      <w:b/>
                      <w:bCs/>
                      <w:noProof/>
                    </w:rPr>
                    <w:t>1</w:t>
                  </w:r>
                </w:fldSimple>
                <w:r w:rsidR="00716F79">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F79" w:rsidRDefault="00716F79"/>
  </w:footnote>
  <w:footnote w:type="continuationSeparator" w:id="1">
    <w:p w:rsidR="00716F79" w:rsidRDefault="00716F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DB0"/>
    <w:multiLevelType w:val="multilevel"/>
    <w:tmpl w:val="02F60A4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FC438E"/>
    <w:multiLevelType w:val="multilevel"/>
    <w:tmpl w:val="AF864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54A8F"/>
    <w:rsid w:val="001942DD"/>
    <w:rsid w:val="00716F79"/>
    <w:rsid w:val="00B54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4A8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4A8F"/>
    <w:rPr>
      <w:color w:val="0066CC"/>
      <w:u w:val="single"/>
    </w:rPr>
  </w:style>
  <w:style w:type="character" w:customStyle="1" w:styleId="Bodytext2">
    <w:name w:val="Body text (2)_"/>
    <w:basedOn w:val="DefaultParagraphFont"/>
    <w:link w:val="Bodytext20"/>
    <w:rsid w:val="00B54A8F"/>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B54A8F"/>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B54A8F"/>
    <w:rPr>
      <w:color w:val="000000"/>
      <w:spacing w:val="0"/>
      <w:w w:val="100"/>
      <w:position w:val="0"/>
      <w:lang w:val="en-US" w:eastAsia="en-US" w:bidi="en-US"/>
    </w:rPr>
  </w:style>
  <w:style w:type="character" w:customStyle="1" w:styleId="Bodytext">
    <w:name w:val="Body text_"/>
    <w:basedOn w:val="DefaultParagraphFont"/>
    <w:link w:val="Bodytext0"/>
    <w:rsid w:val="00B54A8F"/>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B54A8F"/>
    <w:rPr>
      <w:i/>
      <w:iCs/>
      <w:color w:val="000000"/>
      <w:spacing w:val="0"/>
      <w:w w:val="100"/>
      <w:position w:val="0"/>
      <w:lang w:val="en-US" w:eastAsia="en-US" w:bidi="en-US"/>
    </w:rPr>
  </w:style>
  <w:style w:type="paragraph" w:customStyle="1" w:styleId="Bodytext20">
    <w:name w:val="Body text (2)"/>
    <w:basedOn w:val="Normal"/>
    <w:link w:val="Bodytext2"/>
    <w:rsid w:val="00B54A8F"/>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B54A8F"/>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B54A8F"/>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ndiankanoon.org/doc/529970/" TargetMode="External"/><Relationship Id="rId13" Type="http://schemas.openxmlformats.org/officeDocument/2006/relationships/hyperlink" Target="http://indiankanoon.org/doc/529970/" TargetMode="External"/><Relationship Id="rId18" Type="http://schemas.openxmlformats.org/officeDocument/2006/relationships/hyperlink" Target="http://indiankanoon.org/doc/167447/" TargetMode="External"/><Relationship Id="rId26" Type="http://schemas.openxmlformats.org/officeDocument/2006/relationships/hyperlink" Target="http://indiankanoon.org/doc/76735723/" TargetMode="External"/><Relationship Id="rId3" Type="http://schemas.openxmlformats.org/officeDocument/2006/relationships/settings" Target="settings.xml"/><Relationship Id="rId21" Type="http://schemas.openxmlformats.org/officeDocument/2006/relationships/hyperlink" Target="http://indiankanoon.org/doc/167447/" TargetMode="External"/><Relationship Id="rId34" Type="http://schemas.openxmlformats.org/officeDocument/2006/relationships/theme" Target="theme/theme1.xml"/><Relationship Id="rId7" Type="http://schemas.openxmlformats.org/officeDocument/2006/relationships/hyperlink" Target="http://indiankanoon.org/doc/529970/" TargetMode="External"/><Relationship Id="rId12" Type="http://schemas.openxmlformats.org/officeDocument/2006/relationships/hyperlink" Target="http://indiankanoon.org/doc/529970/" TargetMode="External"/><Relationship Id="rId17" Type="http://schemas.openxmlformats.org/officeDocument/2006/relationships/hyperlink" Target="http://indiankanoon.org/doc/167447/" TargetMode="External"/><Relationship Id="rId25" Type="http://schemas.openxmlformats.org/officeDocument/2006/relationships/hyperlink" Target="http://indiankanoon.org/doc/7673572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diankanoon.org/doc/167447/" TargetMode="External"/><Relationship Id="rId20" Type="http://schemas.openxmlformats.org/officeDocument/2006/relationships/hyperlink" Target="http://indiankanoon.org/doc/167447/" TargetMode="External"/><Relationship Id="rId29" Type="http://schemas.openxmlformats.org/officeDocument/2006/relationships/hyperlink" Target="http://indiankanoon.org/doc/767357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ankanoon.org/doc/529970/" TargetMode="External"/><Relationship Id="rId24" Type="http://schemas.openxmlformats.org/officeDocument/2006/relationships/hyperlink" Target="http://indiankanoon.org/doc/167447/"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diankanoon.org/doc/167447/" TargetMode="External"/><Relationship Id="rId23" Type="http://schemas.openxmlformats.org/officeDocument/2006/relationships/hyperlink" Target="http://indiankanoon.org/doc/167447/" TargetMode="External"/><Relationship Id="rId28" Type="http://schemas.openxmlformats.org/officeDocument/2006/relationships/hyperlink" Target="http://indiankanoon.org/doc/76735723/" TargetMode="External"/><Relationship Id="rId10" Type="http://schemas.openxmlformats.org/officeDocument/2006/relationships/hyperlink" Target="http://indiankanoon.org/doc/529970/" TargetMode="External"/><Relationship Id="rId19" Type="http://schemas.openxmlformats.org/officeDocument/2006/relationships/hyperlink" Target="http://indiankanoon.org/doc/167447/" TargetMode="External"/><Relationship Id="rId31" Type="http://schemas.openxmlformats.org/officeDocument/2006/relationships/hyperlink" Target="http://indiankanoon.org/doc/76735723/" TargetMode="External"/><Relationship Id="rId4" Type="http://schemas.openxmlformats.org/officeDocument/2006/relationships/webSettings" Target="webSettings.xml"/><Relationship Id="rId9" Type="http://schemas.openxmlformats.org/officeDocument/2006/relationships/hyperlink" Target="http://indiankanoon.org/doc/529970/" TargetMode="External"/><Relationship Id="rId14" Type="http://schemas.openxmlformats.org/officeDocument/2006/relationships/hyperlink" Target="http://indiankanoon.org/doc/167447/" TargetMode="External"/><Relationship Id="rId22" Type="http://schemas.openxmlformats.org/officeDocument/2006/relationships/hyperlink" Target="http://indiankanoon.org/doc/167447/" TargetMode="External"/><Relationship Id="rId27" Type="http://schemas.openxmlformats.org/officeDocument/2006/relationships/hyperlink" Target="http://indiankanoon.org/doc/76735723/" TargetMode="External"/><Relationship Id="rId30" Type="http://schemas.openxmlformats.org/officeDocument/2006/relationships/hyperlink" Target="http://indiankanoon.org/doc/76735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2017-06-01T07:47:00Z</dcterms:created>
  <dcterms:modified xsi:type="dcterms:W3CDTF">2017-06-01T07:47:00Z</dcterms:modified>
</cp:coreProperties>
</file>