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A0B" w:rsidRDefault="00DA5577">
      <w:pPr>
        <w:pStyle w:val="Bodytext20"/>
        <w:shd w:val="clear" w:color="auto" w:fill="auto"/>
        <w:spacing w:after="52" w:line="280" w:lineRule="exact"/>
        <w:ind w:left="20"/>
      </w:pPr>
      <w:r>
        <w:t>SUPREME COURT OF INDIA</w:t>
      </w:r>
    </w:p>
    <w:p w:rsidR="00AE5A0D" w:rsidRDefault="00DA5577">
      <w:pPr>
        <w:pStyle w:val="Bodytext0"/>
        <w:shd w:val="clear" w:color="auto" w:fill="auto"/>
        <w:spacing w:before="0"/>
        <w:ind w:left="20"/>
      </w:pPr>
      <w:r>
        <w:t xml:space="preserve">Satya Nand Munjal </w:t>
      </w:r>
    </w:p>
    <w:p w:rsidR="004E0A0B" w:rsidRDefault="00DA5577">
      <w:pPr>
        <w:pStyle w:val="Bodytext0"/>
        <w:shd w:val="clear" w:color="auto" w:fill="auto"/>
        <w:spacing w:before="0"/>
        <w:ind w:left="20"/>
      </w:pPr>
      <w:r>
        <w:t>Vs.</w:t>
      </w:r>
    </w:p>
    <w:p w:rsidR="00AE5A0D" w:rsidRDefault="00AE5A0D">
      <w:pPr>
        <w:pStyle w:val="Bodytext0"/>
        <w:shd w:val="clear" w:color="auto" w:fill="auto"/>
        <w:spacing w:before="0"/>
        <w:ind w:left="20"/>
      </w:pPr>
      <w:r>
        <w:t>Commissioner of Gift Tax</w:t>
      </w:r>
      <w:r w:rsidR="00DA5577">
        <w:t xml:space="preserve"> </w:t>
      </w:r>
    </w:p>
    <w:p w:rsidR="00AE5A0D" w:rsidRDefault="00DA5577">
      <w:pPr>
        <w:pStyle w:val="Bodytext0"/>
        <w:shd w:val="clear" w:color="auto" w:fill="auto"/>
        <w:spacing w:before="0"/>
        <w:ind w:left="20"/>
      </w:pPr>
      <w:r>
        <w:t xml:space="preserve">C.A.No.3917 of 2010 </w:t>
      </w:r>
    </w:p>
    <w:p w:rsidR="004E0A0B" w:rsidRDefault="00DA5577">
      <w:pPr>
        <w:pStyle w:val="Bodytext0"/>
        <w:shd w:val="clear" w:color="auto" w:fill="auto"/>
        <w:spacing w:before="0"/>
        <w:ind w:left="20"/>
      </w:pPr>
      <w:r>
        <w:t>(D.K. Jain and Madan B. Lokur JJ.)</w:t>
      </w:r>
    </w:p>
    <w:p w:rsidR="004E0A0B" w:rsidRDefault="00DA5577">
      <w:pPr>
        <w:pStyle w:val="Bodytext0"/>
        <w:shd w:val="clear" w:color="auto" w:fill="auto"/>
        <w:spacing w:before="0"/>
        <w:ind w:left="20"/>
      </w:pPr>
      <w:r>
        <w:t>22.01.2013</w:t>
      </w:r>
    </w:p>
    <w:p w:rsidR="004E0A0B" w:rsidRDefault="00DA5577">
      <w:pPr>
        <w:pStyle w:val="Bodytext20"/>
        <w:shd w:val="clear" w:color="auto" w:fill="auto"/>
        <w:spacing w:after="0" w:line="643" w:lineRule="exact"/>
        <w:ind w:left="20"/>
      </w:pPr>
      <w:r>
        <w:t>JUDGMENT</w:t>
      </w:r>
    </w:p>
    <w:p w:rsidR="004E0A0B" w:rsidRDefault="00DA5577">
      <w:pPr>
        <w:pStyle w:val="Bodytext20"/>
        <w:shd w:val="clear" w:color="auto" w:fill="auto"/>
        <w:spacing w:after="0" w:line="643" w:lineRule="exact"/>
        <w:ind w:left="20"/>
        <w:jc w:val="both"/>
      </w:pPr>
      <w:r>
        <w:t>MADAN B. LOKUR, J.</w:t>
      </w:r>
    </w:p>
    <w:p w:rsidR="00AE5A0D" w:rsidRDefault="00AE5A0D">
      <w:pPr>
        <w:pStyle w:val="Bodytext20"/>
        <w:shd w:val="clear" w:color="auto" w:fill="auto"/>
        <w:spacing w:after="0" w:line="643" w:lineRule="exact"/>
        <w:ind w:left="20"/>
        <w:jc w:val="both"/>
      </w:pPr>
    </w:p>
    <w:p w:rsidR="004E0A0B" w:rsidRDefault="00DA5577">
      <w:pPr>
        <w:pStyle w:val="Bodytext0"/>
        <w:numPr>
          <w:ilvl w:val="0"/>
          <w:numId w:val="1"/>
        </w:numPr>
        <w:shd w:val="clear" w:color="auto" w:fill="auto"/>
        <w:spacing w:before="0" w:after="296" w:line="317" w:lineRule="exact"/>
        <w:ind w:left="20" w:right="40"/>
        <w:jc w:val="both"/>
      </w:pPr>
      <w:r>
        <w:t xml:space="preserve"> Civil Appeal No. 3917/2010 (Assessee: Mr. Satya Nand Munjal), Civil Appeal No. 3916/2010 (Assessee: Mr. Brij Mohan Lal Munjal) and Civil Appeal No. 3918/2010 (Assessee: Om Prakash Munjal) arise out of G.T.A. No. 1/2001, G.T.A. No. 4/2001 and G.T.A. No. 5/</w:t>
      </w:r>
      <w:r>
        <w:t>2001 respectively, all decided by the High Court of Punjab Haryana on 17th December, 2008. The relevant Assessment Year is 1989</w:t>
      </w:r>
      <w:r>
        <w:softHyphen/>
        <w:t>90.</w:t>
      </w:r>
    </w:p>
    <w:p w:rsidR="004E0A0B" w:rsidRDefault="00DA5577">
      <w:pPr>
        <w:pStyle w:val="Bodytext0"/>
        <w:numPr>
          <w:ilvl w:val="0"/>
          <w:numId w:val="1"/>
        </w:numPr>
        <w:shd w:val="clear" w:color="auto" w:fill="auto"/>
        <w:spacing w:before="0" w:after="300" w:line="322" w:lineRule="exact"/>
        <w:ind w:left="20" w:right="40"/>
        <w:jc w:val="both"/>
      </w:pPr>
      <w:r>
        <w:t xml:space="preserve"> The common substantial questions of law referred for consideration by the High Court, at the instance of the Revenue, in al</w:t>
      </w:r>
      <w:r>
        <w:t>l the appeals reads as follows :-</w:t>
      </w:r>
    </w:p>
    <w:p w:rsidR="004E0A0B" w:rsidRDefault="00DA5577">
      <w:pPr>
        <w:pStyle w:val="Bodytext0"/>
        <w:shd w:val="clear" w:color="auto" w:fill="auto"/>
        <w:spacing w:before="0" w:after="300" w:line="322" w:lineRule="exact"/>
        <w:ind w:left="740" w:right="40"/>
        <w:jc w:val="both"/>
      </w:pPr>
      <w:r>
        <w:t>“1. Whether, in the facts and in the circumstances of the case, the ITAT was right in law in holding that no interest under section 16B was chargeable in this case?</w:t>
      </w:r>
    </w:p>
    <w:p w:rsidR="004E0A0B" w:rsidRDefault="00DA5577">
      <w:pPr>
        <w:pStyle w:val="Bodytext0"/>
        <w:shd w:val="clear" w:color="auto" w:fill="auto"/>
        <w:spacing w:before="0" w:after="300" w:line="322" w:lineRule="exact"/>
        <w:ind w:left="740" w:right="40"/>
        <w:jc w:val="both"/>
      </w:pPr>
      <w:r>
        <w:t>2.Whether, in the facts and in the circumstances of the c</w:t>
      </w:r>
      <w:r>
        <w:t>ase, the ITAT was right in law in holding that the provisions of section 16B(3) were applicable to this case.”</w:t>
      </w:r>
    </w:p>
    <w:p w:rsidR="004E0A0B" w:rsidRDefault="00DA5577">
      <w:pPr>
        <w:pStyle w:val="Bodytext0"/>
        <w:numPr>
          <w:ilvl w:val="0"/>
          <w:numId w:val="1"/>
        </w:numPr>
        <w:shd w:val="clear" w:color="auto" w:fill="auto"/>
        <w:spacing w:before="0" w:line="322" w:lineRule="exact"/>
        <w:ind w:left="20"/>
      </w:pPr>
      <w:r>
        <w:t xml:space="preserve"> The High Court allowed the appeals on the basis of the common judgment and order rendered in G.T.A. No. 2/2001 and G.T.A. No. 3/2001 holding, inter alia, that since gift tax was leviable on the revocable transfer of equity shares by the</w:t>
      </w:r>
    </w:p>
    <w:p w:rsidR="004E0A0B" w:rsidRDefault="00DA5577">
      <w:pPr>
        <w:pStyle w:val="Bodytext0"/>
        <w:shd w:val="clear" w:color="auto" w:fill="auto"/>
        <w:spacing w:before="0" w:after="236" w:line="322" w:lineRule="exact"/>
        <w:ind w:right="20"/>
        <w:jc w:val="both"/>
      </w:pPr>
      <w:r>
        <w:t>assessee to M/s Yo</w:t>
      </w:r>
      <w:r>
        <w:t>gesh Chandra Brothers Associates, interest was liable to be paid by the assessee on the gift tax levied.</w:t>
      </w:r>
    </w:p>
    <w:p w:rsidR="004E0A0B" w:rsidRDefault="00DA5577">
      <w:pPr>
        <w:pStyle w:val="Bodytext0"/>
        <w:numPr>
          <w:ilvl w:val="0"/>
          <w:numId w:val="1"/>
        </w:numPr>
        <w:shd w:val="clear" w:color="auto" w:fill="auto"/>
        <w:spacing w:before="0" w:after="244" w:line="326" w:lineRule="exact"/>
        <w:ind w:right="20"/>
        <w:jc w:val="both"/>
      </w:pPr>
      <w:r>
        <w:lastRenderedPageBreak/>
        <w:t xml:space="preserve"> Feeling aggrieved by the judgment and order of the High Court, the assessees have preferred these appeals.</w:t>
      </w:r>
    </w:p>
    <w:p w:rsidR="004E0A0B" w:rsidRDefault="00DA5577">
      <w:pPr>
        <w:pStyle w:val="Bodytext0"/>
        <w:numPr>
          <w:ilvl w:val="0"/>
          <w:numId w:val="1"/>
        </w:numPr>
        <w:shd w:val="clear" w:color="auto" w:fill="auto"/>
        <w:spacing w:before="0" w:line="322" w:lineRule="exact"/>
        <w:ind w:right="20"/>
        <w:jc w:val="both"/>
      </w:pPr>
      <w:r>
        <w:t>We have today set aside the order of the Hi</w:t>
      </w:r>
      <w:r>
        <w:t>gh Court passed in G.T.A. No. 3/2001 and G.T.A. No. 2/2001 and have remanded the matters back to the High Court for de novo consideration. 6 In view thereof, the judgment and order in appeal in these cases is also set aside. The matters are remanded to the</w:t>
      </w:r>
      <w:r>
        <w:t xml:space="preserve"> High Court for fresh consideration on the merits of the case. The appeals are allowed but there will be no order as to costs.</w:t>
      </w:r>
    </w:p>
    <w:sectPr w:rsidR="004E0A0B" w:rsidSect="004E0A0B">
      <w:footerReference w:type="default" r:id="rId7"/>
      <w:type w:val="continuous"/>
      <w:pgSz w:w="12240" w:h="15840"/>
      <w:pgMar w:top="1240" w:right="1411" w:bottom="2085" w:left="143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577" w:rsidRDefault="00DA5577" w:rsidP="004E0A0B">
      <w:r>
        <w:separator/>
      </w:r>
    </w:p>
  </w:endnote>
  <w:endnote w:type="continuationSeparator" w:id="1">
    <w:p w:rsidR="00DA5577" w:rsidRDefault="00DA5577" w:rsidP="004E0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A0B" w:rsidRDefault="004E0A0B">
    <w:pPr>
      <w:rPr>
        <w:sz w:val="2"/>
        <w:szCs w:val="2"/>
      </w:rPr>
    </w:pPr>
    <w:r w:rsidRPr="004E0A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2pt;margin-top:719.85pt;width:465.85pt;height:11.0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0A0B" w:rsidRDefault="00DA5577">
                <w:pPr>
                  <w:pStyle w:val="Headerorfooter0"/>
                  <w:shd w:val="clear" w:color="auto" w:fill="auto"/>
                  <w:tabs>
                    <w:tab w:val="right" w:pos="5304"/>
                    <w:tab w:val="right" w:pos="9317"/>
                  </w:tabs>
                  <w:spacing w:line="240" w:lineRule="auto"/>
                </w:pPr>
                <w:r>
                  <w:rPr>
                    <w:rStyle w:val="Headerorfooter1"/>
                  </w:rPr>
                  <w:t>Law Information Center</w:t>
                </w:r>
                <w:r>
                  <w:rPr>
                    <w:rStyle w:val="Headerorfooter1"/>
                  </w:rPr>
                  <w:tab/>
                </w:r>
                <w:fldSimple w:instr=" PAGE \* MERGEFORMAT ">
                  <w:r w:rsidRPr="00DA5577">
                    <w:rPr>
                      <w:rStyle w:val="Headerorfooter1"/>
                      <w:noProof/>
                    </w:rPr>
                    <w:t>1</w:t>
                  </w:r>
                </w:fldSimple>
                <w:r>
                  <w:rPr>
                    <w:rStyle w:val="Headerorfooter1"/>
                  </w:rPr>
                  <w:tab/>
                  <w:t>SpotLaw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577" w:rsidRDefault="00DA5577"/>
  </w:footnote>
  <w:footnote w:type="continuationSeparator" w:id="1">
    <w:p w:rsidR="00DA5577" w:rsidRDefault="00DA55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C06D8"/>
    <w:multiLevelType w:val="multilevel"/>
    <w:tmpl w:val="82E4E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4E0A0B"/>
    <w:rsid w:val="004E0A0B"/>
    <w:rsid w:val="00AE5A0D"/>
    <w:rsid w:val="00DA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0A0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E0A0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4E0A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4E0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1">
    <w:name w:val="Header or footer"/>
    <w:basedOn w:val="Headerorfooter"/>
    <w:rsid w:val="004E0A0B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Bodytext">
    <w:name w:val="Body text_"/>
    <w:basedOn w:val="DefaultParagraphFont"/>
    <w:link w:val="Bodytext0"/>
    <w:rsid w:val="004E0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20">
    <w:name w:val="Body text (2)"/>
    <w:basedOn w:val="Normal"/>
    <w:link w:val="Bodytext2"/>
    <w:rsid w:val="004E0A0B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4E0A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0">
    <w:name w:val="Body text"/>
    <w:basedOn w:val="Normal"/>
    <w:link w:val="Bodytext"/>
    <w:rsid w:val="004E0A0B"/>
    <w:pPr>
      <w:shd w:val="clear" w:color="auto" w:fill="FFFFFF"/>
      <w:spacing w:before="420" w:line="643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1</cp:revision>
  <dcterms:created xsi:type="dcterms:W3CDTF">2017-06-01T07:22:00Z</dcterms:created>
  <dcterms:modified xsi:type="dcterms:W3CDTF">2017-06-01T07:22:00Z</dcterms:modified>
</cp:coreProperties>
</file>