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4D" w:rsidRPr="00333C0F" w:rsidRDefault="00A4173F" w:rsidP="007C2AE8">
      <w:pPr>
        <w:pStyle w:val="Bodytext20"/>
        <w:shd w:val="clear" w:color="auto" w:fill="auto"/>
        <w:spacing w:after="0" w:line="240" w:lineRule="auto"/>
        <w:ind w:left="260"/>
        <w:rPr>
          <w:sz w:val="25"/>
          <w:szCs w:val="25"/>
        </w:rPr>
      </w:pPr>
      <w:r w:rsidRPr="00333C0F">
        <w:rPr>
          <w:sz w:val="25"/>
          <w:szCs w:val="25"/>
        </w:rPr>
        <w:t>SUPREME COURT OF INDIA</w:t>
      </w:r>
    </w:p>
    <w:p w:rsidR="007C2AE8" w:rsidRPr="00333C0F" w:rsidRDefault="007C2AE8" w:rsidP="007C2AE8">
      <w:pPr>
        <w:pStyle w:val="Bodytext20"/>
        <w:shd w:val="clear" w:color="auto" w:fill="auto"/>
        <w:spacing w:after="0" w:line="240" w:lineRule="auto"/>
        <w:ind w:left="260"/>
        <w:rPr>
          <w:sz w:val="25"/>
          <w:szCs w:val="25"/>
        </w:rPr>
      </w:pPr>
    </w:p>
    <w:p w:rsidR="007C2AE8" w:rsidRPr="00333C0F" w:rsidRDefault="00A4173F" w:rsidP="007C2AE8">
      <w:pPr>
        <w:pStyle w:val="Bodytext0"/>
        <w:shd w:val="clear" w:color="auto" w:fill="auto"/>
        <w:spacing w:before="0" w:line="240" w:lineRule="auto"/>
        <w:ind w:left="20"/>
        <w:rPr>
          <w:sz w:val="25"/>
          <w:szCs w:val="25"/>
        </w:rPr>
      </w:pPr>
      <w:r w:rsidRPr="00333C0F">
        <w:rPr>
          <w:sz w:val="25"/>
          <w:szCs w:val="25"/>
        </w:rPr>
        <w:t>All India Council for Technical Education</w:t>
      </w:r>
    </w:p>
    <w:p w:rsidR="007C2AE8" w:rsidRPr="00333C0F" w:rsidRDefault="007C2AE8" w:rsidP="007C2AE8">
      <w:pPr>
        <w:pStyle w:val="Bodytext0"/>
        <w:shd w:val="clear" w:color="auto" w:fill="auto"/>
        <w:spacing w:before="0" w:line="240" w:lineRule="auto"/>
        <w:ind w:left="20"/>
        <w:rPr>
          <w:sz w:val="25"/>
          <w:szCs w:val="25"/>
        </w:rPr>
      </w:pPr>
    </w:p>
    <w:p w:rsidR="0010764D" w:rsidRPr="00333C0F" w:rsidRDefault="00A4173F" w:rsidP="007C2AE8">
      <w:pPr>
        <w:pStyle w:val="Bodytext0"/>
        <w:shd w:val="clear" w:color="auto" w:fill="auto"/>
        <w:spacing w:before="0" w:line="240" w:lineRule="auto"/>
        <w:ind w:left="20"/>
        <w:rPr>
          <w:sz w:val="25"/>
          <w:szCs w:val="25"/>
        </w:rPr>
      </w:pPr>
      <w:r w:rsidRPr="00333C0F">
        <w:rPr>
          <w:sz w:val="25"/>
          <w:szCs w:val="25"/>
        </w:rPr>
        <w:t xml:space="preserve"> Vs.</w:t>
      </w:r>
    </w:p>
    <w:p w:rsidR="007C2AE8" w:rsidRPr="00333C0F" w:rsidRDefault="007C2AE8" w:rsidP="007C2AE8">
      <w:pPr>
        <w:pStyle w:val="Bodytext0"/>
        <w:shd w:val="clear" w:color="auto" w:fill="auto"/>
        <w:spacing w:before="0" w:line="240" w:lineRule="auto"/>
        <w:ind w:left="20"/>
        <w:rPr>
          <w:sz w:val="25"/>
          <w:szCs w:val="25"/>
        </w:rPr>
      </w:pPr>
    </w:p>
    <w:p w:rsidR="007C2AE8" w:rsidRPr="00333C0F" w:rsidRDefault="00A4173F" w:rsidP="007C2AE8">
      <w:pPr>
        <w:pStyle w:val="Bodytext0"/>
        <w:shd w:val="clear" w:color="auto" w:fill="auto"/>
        <w:spacing w:before="0" w:line="240" w:lineRule="auto"/>
        <w:ind w:left="20"/>
        <w:rPr>
          <w:sz w:val="25"/>
          <w:szCs w:val="25"/>
        </w:rPr>
      </w:pPr>
      <w:r w:rsidRPr="00333C0F">
        <w:rPr>
          <w:sz w:val="25"/>
          <w:szCs w:val="25"/>
        </w:rPr>
        <w:t>Rakesh Sachan &amp; Anr.</w:t>
      </w:r>
    </w:p>
    <w:p w:rsidR="007C2AE8" w:rsidRPr="00333C0F" w:rsidRDefault="007C2AE8" w:rsidP="007C2AE8">
      <w:pPr>
        <w:pStyle w:val="Bodytext0"/>
        <w:shd w:val="clear" w:color="auto" w:fill="auto"/>
        <w:spacing w:before="0" w:line="240" w:lineRule="auto"/>
        <w:ind w:left="20"/>
        <w:rPr>
          <w:sz w:val="25"/>
          <w:szCs w:val="25"/>
        </w:rPr>
      </w:pPr>
    </w:p>
    <w:p w:rsidR="007C2AE8" w:rsidRPr="00333C0F" w:rsidRDefault="00A4173F" w:rsidP="007C2AE8">
      <w:pPr>
        <w:pStyle w:val="Bodytext0"/>
        <w:shd w:val="clear" w:color="auto" w:fill="auto"/>
        <w:spacing w:before="0" w:line="240" w:lineRule="auto"/>
        <w:ind w:left="20"/>
        <w:rPr>
          <w:sz w:val="25"/>
          <w:szCs w:val="25"/>
        </w:rPr>
      </w:pPr>
      <w:r w:rsidRPr="00333C0F">
        <w:rPr>
          <w:sz w:val="25"/>
          <w:szCs w:val="25"/>
        </w:rPr>
        <w:t xml:space="preserve"> Crl.A.No.190 of 2013 </w:t>
      </w:r>
    </w:p>
    <w:p w:rsidR="007C2AE8" w:rsidRPr="00333C0F" w:rsidRDefault="007C2AE8" w:rsidP="007C2AE8">
      <w:pPr>
        <w:pStyle w:val="Bodytext0"/>
        <w:shd w:val="clear" w:color="auto" w:fill="auto"/>
        <w:spacing w:before="0" w:line="240" w:lineRule="auto"/>
        <w:ind w:left="20"/>
        <w:rPr>
          <w:sz w:val="25"/>
          <w:szCs w:val="25"/>
        </w:rPr>
      </w:pPr>
    </w:p>
    <w:p w:rsidR="007C2AE8" w:rsidRPr="00333C0F" w:rsidRDefault="00A4173F" w:rsidP="007C2AE8">
      <w:pPr>
        <w:pStyle w:val="Bodytext0"/>
        <w:shd w:val="clear" w:color="auto" w:fill="auto"/>
        <w:spacing w:before="0" w:line="240" w:lineRule="auto"/>
        <w:ind w:left="20"/>
        <w:rPr>
          <w:sz w:val="25"/>
          <w:szCs w:val="25"/>
        </w:rPr>
      </w:pPr>
      <w:r w:rsidRPr="00333C0F">
        <w:rPr>
          <w:sz w:val="25"/>
          <w:szCs w:val="25"/>
        </w:rPr>
        <w:t xml:space="preserve">(H.L. Dattu and Ranjan Gogoi, JJ.) </w:t>
      </w:r>
    </w:p>
    <w:p w:rsidR="007C2AE8" w:rsidRPr="00333C0F" w:rsidRDefault="007C2AE8" w:rsidP="007C2AE8">
      <w:pPr>
        <w:pStyle w:val="Bodytext0"/>
        <w:shd w:val="clear" w:color="auto" w:fill="auto"/>
        <w:spacing w:before="0" w:line="240" w:lineRule="auto"/>
        <w:ind w:left="20"/>
        <w:rPr>
          <w:sz w:val="25"/>
          <w:szCs w:val="25"/>
        </w:rPr>
      </w:pPr>
    </w:p>
    <w:p w:rsidR="007C2AE8" w:rsidRPr="00333C0F" w:rsidRDefault="00A4173F" w:rsidP="007C2AE8">
      <w:pPr>
        <w:pStyle w:val="Bodytext0"/>
        <w:shd w:val="clear" w:color="auto" w:fill="auto"/>
        <w:spacing w:before="0" w:line="240" w:lineRule="auto"/>
        <w:ind w:left="20"/>
        <w:rPr>
          <w:sz w:val="25"/>
          <w:szCs w:val="25"/>
        </w:rPr>
      </w:pPr>
      <w:r w:rsidRPr="00333C0F">
        <w:rPr>
          <w:sz w:val="25"/>
          <w:szCs w:val="25"/>
        </w:rPr>
        <w:t xml:space="preserve">22.01.2013 </w:t>
      </w:r>
    </w:p>
    <w:p w:rsidR="007C2AE8" w:rsidRPr="00333C0F" w:rsidRDefault="007C2AE8" w:rsidP="007C2AE8">
      <w:pPr>
        <w:pStyle w:val="Bodytext0"/>
        <w:shd w:val="clear" w:color="auto" w:fill="auto"/>
        <w:spacing w:before="0" w:line="240" w:lineRule="auto"/>
        <w:ind w:left="20"/>
        <w:rPr>
          <w:sz w:val="25"/>
          <w:szCs w:val="25"/>
        </w:rPr>
      </w:pPr>
    </w:p>
    <w:p w:rsidR="0010764D" w:rsidRPr="00333C0F" w:rsidRDefault="00A4173F" w:rsidP="007C2AE8">
      <w:pPr>
        <w:pStyle w:val="Bodytext0"/>
        <w:shd w:val="clear" w:color="auto" w:fill="auto"/>
        <w:spacing w:before="0" w:line="240" w:lineRule="auto"/>
        <w:ind w:left="20"/>
        <w:rPr>
          <w:rStyle w:val="Bodytext12pt"/>
          <w:sz w:val="25"/>
          <w:szCs w:val="25"/>
        </w:rPr>
      </w:pPr>
      <w:r w:rsidRPr="00333C0F">
        <w:rPr>
          <w:rStyle w:val="Bodytext12pt"/>
          <w:sz w:val="25"/>
          <w:szCs w:val="25"/>
        </w:rPr>
        <w:t>ORDER</w:t>
      </w:r>
    </w:p>
    <w:p w:rsidR="007C2AE8" w:rsidRPr="00333C0F" w:rsidRDefault="007C2AE8" w:rsidP="007C2AE8">
      <w:pPr>
        <w:pStyle w:val="Bodytext0"/>
        <w:shd w:val="clear" w:color="auto" w:fill="auto"/>
        <w:spacing w:before="0" w:line="240" w:lineRule="auto"/>
        <w:ind w:left="20"/>
        <w:rPr>
          <w:sz w:val="25"/>
          <w:szCs w:val="25"/>
        </w:rPr>
      </w:pPr>
    </w:p>
    <w:p w:rsidR="0010764D" w:rsidRPr="00333C0F" w:rsidRDefault="007C2AE8" w:rsidP="007C2AE8">
      <w:pPr>
        <w:pStyle w:val="Bodytext20"/>
        <w:shd w:val="clear" w:color="auto" w:fill="auto"/>
        <w:spacing w:after="0" w:line="240" w:lineRule="auto"/>
        <w:ind w:left="20"/>
        <w:jc w:val="both"/>
        <w:rPr>
          <w:sz w:val="25"/>
          <w:szCs w:val="25"/>
        </w:rPr>
      </w:pPr>
      <w:r w:rsidRPr="00333C0F">
        <w:rPr>
          <w:sz w:val="25"/>
          <w:szCs w:val="25"/>
        </w:rPr>
        <w:t>H.</w:t>
      </w:r>
      <w:r w:rsidR="00A4173F" w:rsidRPr="00333C0F">
        <w:rPr>
          <w:sz w:val="25"/>
          <w:szCs w:val="25"/>
        </w:rPr>
        <w:t>L. Dattu,J.</w:t>
      </w:r>
    </w:p>
    <w:p w:rsidR="007C2AE8" w:rsidRPr="00333C0F" w:rsidRDefault="007C2AE8" w:rsidP="007C2AE8">
      <w:pPr>
        <w:pStyle w:val="Bodytext20"/>
        <w:shd w:val="clear" w:color="auto" w:fill="auto"/>
        <w:spacing w:after="0" w:line="240" w:lineRule="auto"/>
        <w:ind w:left="20"/>
        <w:jc w:val="both"/>
        <w:rPr>
          <w:sz w:val="25"/>
          <w:szCs w:val="25"/>
        </w:rPr>
      </w:pPr>
    </w:p>
    <w:p w:rsidR="0010764D" w:rsidRPr="00333C0F" w:rsidRDefault="00A4173F" w:rsidP="007C2AE8">
      <w:pPr>
        <w:pStyle w:val="Bodytext0"/>
        <w:numPr>
          <w:ilvl w:val="0"/>
          <w:numId w:val="2"/>
        </w:numPr>
        <w:shd w:val="clear" w:color="auto" w:fill="auto"/>
        <w:spacing w:before="0" w:after="258" w:line="230" w:lineRule="exact"/>
        <w:ind w:left="20"/>
        <w:jc w:val="both"/>
        <w:rPr>
          <w:sz w:val="25"/>
          <w:szCs w:val="25"/>
        </w:rPr>
      </w:pPr>
      <w:r w:rsidRPr="00333C0F">
        <w:rPr>
          <w:sz w:val="25"/>
          <w:szCs w:val="25"/>
        </w:rPr>
        <w:t xml:space="preserve"> Leave granted.</w:t>
      </w:r>
    </w:p>
    <w:p w:rsidR="0010764D" w:rsidRPr="00333C0F" w:rsidRDefault="00A4173F">
      <w:pPr>
        <w:pStyle w:val="Bodytext0"/>
        <w:numPr>
          <w:ilvl w:val="0"/>
          <w:numId w:val="2"/>
        </w:numPr>
        <w:shd w:val="clear" w:color="auto" w:fill="auto"/>
        <w:spacing w:before="0" w:after="240" w:line="293" w:lineRule="exact"/>
        <w:ind w:left="20" w:right="280"/>
        <w:jc w:val="both"/>
        <w:rPr>
          <w:sz w:val="25"/>
          <w:szCs w:val="25"/>
        </w:rPr>
      </w:pPr>
      <w:r w:rsidRPr="00333C0F">
        <w:rPr>
          <w:sz w:val="25"/>
          <w:szCs w:val="25"/>
        </w:rPr>
        <w:t xml:space="preserve"> All India Council for Technical Education ("</w:t>
      </w:r>
      <w:r w:rsidRPr="00333C0F">
        <w:rPr>
          <w:sz w:val="25"/>
          <w:szCs w:val="25"/>
        </w:rPr>
        <w:t xml:space="preserve">AICTE” for short) is the appellant in this appeal. It calls in question the correctness or otherwise of the judgment and order passed by the High Court of Judicature of Allahabad at Lucknow in Criminal Misc. Application No. 4107 of 2011, dated 15.09.2011. </w:t>
      </w:r>
      <w:r w:rsidRPr="00333C0F">
        <w:rPr>
          <w:sz w:val="25"/>
          <w:szCs w:val="25"/>
        </w:rPr>
        <w:t>By the impugned judgment and order the High Court without affording an opportunity of hearing to the AICTE has remitted the matter to the Trial Court with a direction to decide the application filed under Section 320 of the Code of Criminal Procedure, 1973</w:t>
      </w:r>
      <w:r w:rsidRPr="00333C0F">
        <w:rPr>
          <w:sz w:val="25"/>
          <w:szCs w:val="25"/>
        </w:rPr>
        <w:t xml:space="preserve"> ("Cr.P.C." for short) by the respondents.</w:t>
      </w:r>
    </w:p>
    <w:p w:rsidR="0010764D" w:rsidRPr="00333C0F" w:rsidRDefault="00A4173F">
      <w:pPr>
        <w:pStyle w:val="Bodytext0"/>
        <w:numPr>
          <w:ilvl w:val="0"/>
          <w:numId w:val="2"/>
        </w:numPr>
        <w:shd w:val="clear" w:color="auto" w:fill="auto"/>
        <w:spacing w:before="0" w:after="240" w:line="293" w:lineRule="exact"/>
        <w:ind w:left="20" w:right="280"/>
        <w:jc w:val="both"/>
        <w:rPr>
          <w:sz w:val="25"/>
          <w:szCs w:val="25"/>
        </w:rPr>
      </w:pPr>
      <w:r w:rsidRPr="00333C0F">
        <w:rPr>
          <w:sz w:val="25"/>
          <w:szCs w:val="25"/>
        </w:rPr>
        <w:t xml:space="preserve"> The Aicte has been constituted under the All India Council for Technical Education Act, 1987. The said Act provides for the establishment of an All India Council for Technical Education with a view to ensure prop</w:t>
      </w:r>
      <w:r w:rsidRPr="00333C0F">
        <w:rPr>
          <w:sz w:val="25"/>
          <w:szCs w:val="25"/>
        </w:rPr>
        <w:t xml:space="preserve">er planning and coordinate development of the technical education system throughout the country and also to promote the qualitative improvement of such education in relation to planned quantitative growth and the regulation and proper maintenance of norms </w:t>
      </w:r>
      <w:r w:rsidRPr="00333C0F">
        <w:rPr>
          <w:sz w:val="25"/>
          <w:szCs w:val="25"/>
        </w:rPr>
        <w:t>and standards in the technical education system and for matters connected therewith.</w:t>
      </w:r>
    </w:p>
    <w:p w:rsidR="0010764D" w:rsidRPr="00333C0F" w:rsidRDefault="00A4173F">
      <w:pPr>
        <w:pStyle w:val="Bodytext0"/>
        <w:numPr>
          <w:ilvl w:val="0"/>
          <w:numId w:val="2"/>
        </w:numPr>
        <w:shd w:val="clear" w:color="auto" w:fill="auto"/>
        <w:spacing w:before="0" w:after="240" w:line="293" w:lineRule="exact"/>
        <w:ind w:left="20"/>
        <w:rPr>
          <w:sz w:val="25"/>
          <w:szCs w:val="25"/>
        </w:rPr>
      </w:pPr>
      <w:r w:rsidRPr="00333C0F">
        <w:rPr>
          <w:sz w:val="25"/>
          <w:szCs w:val="25"/>
        </w:rPr>
        <w:t xml:space="preserve"> The first respondent is the Chairman of Abhinav Shikshan Evam Samaj Seva Sanstha, Kanpur and the Central Bureau of Investigation ("CBI" for short) is the second responden</w:t>
      </w:r>
      <w:r w:rsidRPr="00333C0F">
        <w:rPr>
          <w:sz w:val="25"/>
          <w:szCs w:val="25"/>
        </w:rPr>
        <w:t>t.</w:t>
      </w:r>
    </w:p>
    <w:p w:rsidR="0010764D" w:rsidRPr="00333C0F" w:rsidRDefault="00A4173F">
      <w:pPr>
        <w:pStyle w:val="Bodytext0"/>
        <w:numPr>
          <w:ilvl w:val="0"/>
          <w:numId w:val="2"/>
        </w:numPr>
        <w:shd w:val="clear" w:color="auto" w:fill="auto"/>
        <w:spacing w:before="0" w:line="293" w:lineRule="exact"/>
        <w:ind w:left="20"/>
        <w:rPr>
          <w:sz w:val="25"/>
          <w:szCs w:val="25"/>
        </w:rPr>
      </w:pPr>
      <w:r w:rsidRPr="00333C0F">
        <w:rPr>
          <w:sz w:val="25"/>
          <w:szCs w:val="25"/>
        </w:rPr>
        <w:t xml:space="preserve"> Briefly stated, the facts are: The CBI as well as AICTE had alleged that the Respondent No.1 had entered into a criminal conspiracy during the year 2008 with the known officers of</w:t>
      </w:r>
    </w:p>
    <w:p w:rsidR="0010764D" w:rsidRPr="00333C0F" w:rsidRDefault="00A4173F">
      <w:pPr>
        <w:pStyle w:val="Bodytext0"/>
        <w:shd w:val="clear" w:color="auto" w:fill="auto"/>
        <w:spacing w:before="0" w:after="240" w:line="293" w:lineRule="exact"/>
        <w:ind w:left="20" w:right="300"/>
        <w:jc w:val="left"/>
        <w:rPr>
          <w:sz w:val="25"/>
          <w:szCs w:val="25"/>
        </w:rPr>
      </w:pPr>
      <w:r w:rsidRPr="00333C0F">
        <w:rPr>
          <w:sz w:val="25"/>
          <w:szCs w:val="25"/>
        </w:rPr>
        <w:t xml:space="preserve">the AICTE at Kanpur and Delhi and that in pursuance of such conspiracy </w:t>
      </w:r>
      <w:r w:rsidRPr="00333C0F">
        <w:rPr>
          <w:sz w:val="25"/>
          <w:szCs w:val="25"/>
        </w:rPr>
        <w:t>he had obtained approval in respect of opening a new engineering college at Village Murlipur, Tehsil Ghatampur, District Kanpur Nagar, under the name and style of Abhinav Institute of Engineering and Management. The said approval is based on a false declar</w:t>
      </w:r>
      <w:r w:rsidRPr="00333C0F">
        <w:rPr>
          <w:sz w:val="25"/>
          <w:szCs w:val="25"/>
        </w:rPr>
        <w:t xml:space="preserve">ation submitted </w:t>
      </w:r>
      <w:r w:rsidRPr="00333C0F">
        <w:rPr>
          <w:sz w:val="25"/>
          <w:szCs w:val="25"/>
        </w:rPr>
        <w:lastRenderedPageBreak/>
        <w:t>by Respondent No. 1 and the bogus report submitted by the Expert Committee of AICTE.</w:t>
      </w:r>
    </w:p>
    <w:p w:rsidR="0010764D" w:rsidRPr="00333C0F" w:rsidRDefault="00A4173F">
      <w:pPr>
        <w:pStyle w:val="Bodytext0"/>
        <w:numPr>
          <w:ilvl w:val="0"/>
          <w:numId w:val="2"/>
        </w:numPr>
        <w:shd w:val="clear" w:color="auto" w:fill="auto"/>
        <w:spacing w:before="0" w:after="240" w:line="293" w:lineRule="exact"/>
        <w:ind w:left="20" w:right="300"/>
        <w:jc w:val="both"/>
        <w:rPr>
          <w:sz w:val="25"/>
          <w:szCs w:val="25"/>
        </w:rPr>
      </w:pPr>
      <w:r w:rsidRPr="00333C0F">
        <w:rPr>
          <w:sz w:val="25"/>
          <w:szCs w:val="25"/>
        </w:rPr>
        <w:t xml:space="preserve"> Accordingly, CBI on 01.09.2009 had lodged an FIR against the Respondent No. 1 under Sections 120-B and 420 of the Indian Penal Code, 1860 ("IPC" for short</w:t>
      </w:r>
      <w:r w:rsidRPr="00333C0F">
        <w:rPr>
          <w:sz w:val="25"/>
          <w:szCs w:val="25"/>
        </w:rPr>
        <w:t>) read with Sections 13(2) and 13(1)(d) of the Prevention of Corruption Act, 1988 on the allegation that the Respondent No. 1, in connivance with the known officers of AICTE at Kanpur and Delhi, had obtained approval to run Anubhav Institute of Engineering</w:t>
      </w:r>
      <w:r w:rsidRPr="00333C0F">
        <w:rPr>
          <w:sz w:val="25"/>
          <w:szCs w:val="25"/>
        </w:rPr>
        <w:t xml:space="preserve"> and Management, Kanpur on the basis of forged and bogus documents and reports. Thereafter, upon enquiry, a Final Report, as envisaged under Section 173 of the Cr.P.C. was filed by the CBI in the Court of Special Judicial Magistrate, CBI, Lucknow in Case N</w:t>
      </w:r>
      <w:r w:rsidRPr="00333C0F">
        <w:rPr>
          <w:sz w:val="25"/>
          <w:szCs w:val="25"/>
        </w:rPr>
        <w:t>o. 29/2010 on 30.11.2010.</w:t>
      </w:r>
    </w:p>
    <w:p w:rsidR="0010764D" w:rsidRPr="00333C0F" w:rsidRDefault="00A4173F">
      <w:pPr>
        <w:pStyle w:val="Bodytext0"/>
        <w:numPr>
          <w:ilvl w:val="0"/>
          <w:numId w:val="2"/>
        </w:numPr>
        <w:shd w:val="clear" w:color="auto" w:fill="auto"/>
        <w:spacing w:before="0" w:after="240" w:line="293" w:lineRule="exact"/>
        <w:ind w:left="20" w:right="300"/>
        <w:jc w:val="both"/>
        <w:rPr>
          <w:sz w:val="25"/>
          <w:szCs w:val="25"/>
        </w:rPr>
      </w:pPr>
      <w:r w:rsidRPr="00333C0F">
        <w:rPr>
          <w:sz w:val="25"/>
          <w:szCs w:val="25"/>
        </w:rPr>
        <w:t xml:space="preserve"> An application was filed by Respondent No. 1 under Section 320 of the Cr.P.C., before the learned Magistrate for compounding of the offence in Case No. 29/2010. The said application was rejected by the learned Magistrate on 25.04</w:t>
      </w:r>
      <w:r w:rsidRPr="00333C0F">
        <w:rPr>
          <w:sz w:val="25"/>
          <w:szCs w:val="25"/>
        </w:rPr>
        <w:t>.2011, whereafter the Respondent No.1 preferred a Criminal Miscellaneous Application against the same before the High Court. The High Court has allowed the same and has directed the learned Magistrate to consider the application filed by Respondent No.1 fo</w:t>
      </w:r>
      <w:r w:rsidRPr="00333C0F">
        <w:rPr>
          <w:sz w:val="25"/>
          <w:szCs w:val="25"/>
        </w:rPr>
        <w:t>r compounding of the Offence in Case No.29/2010 pending before it.</w:t>
      </w:r>
    </w:p>
    <w:p w:rsidR="0010764D" w:rsidRPr="00333C0F" w:rsidRDefault="00A4173F">
      <w:pPr>
        <w:pStyle w:val="Bodytext0"/>
        <w:numPr>
          <w:ilvl w:val="0"/>
          <w:numId w:val="2"/>
        </w:numPr>
        <w:shd w:val="clear" w:color="auto" w:fill="auto"/>
        <w:spacing w:before="0" w:after="236" w:line="293" w:lineRule="exact"/>
        <w:ind w:left="20" w:right="300"/>
        <w:jc w:val="both"/>
        <w:rPr>
          <w:sz w:val="25"/>
          <w:szCs w:val="25"/>
        </w:rPr>
      </w:pPr>
      <w:r w:rsidRPr="00333C0F">
        <w:rPr>
          <w:sz w:val="25"/>
          <w:szCs w:val="25"/>
        </w:rPr>
        <w:t xml:space="preserve"> The CBI had not filed its objection to the fresh application filed before the learned Magistrate, but had conceded to the request made by the Respondent No.1. However, the learned Magistra</w:t>
      </w:r>
      <w:r w:rsidRPr="00333C0F">
        <w:rPr>
          <w:sz w:val="25"/>
          <w:szCs w:val="25"/>
        </w:rPr>
        <w:t>te thought it fit to issue a notice, dated 31.05.2011, to the AICTE to clarify its stand before the Court on the application filed by the respondent. The AICTE has filed its objection to the application filed by the Respondent No. 1.</w:t>
      </w:r>
    </w:p>
    <w:p w:rsidR="0010764D" w:rsidRPr="00333C0F" w:rsidRDefault="00A4173F">
      <w:pPr>
        <w:pStyle w:val="Bodytext0"/>
        <w:numPr>
          <w:ilvl w:val="0"/>
          <w:numId w:val="2"/>
        </w:numPr>
        <w:shd w:val="clear" w:color="auto" w:fill="auto"/>
        <w:spacing w:before="0" w:after="244" w:line="298" w:lineRule="exact"/>
        <w:ind w:left="20" w:right="300"/>
        <w:jc w:val="left"/>
        <w:rPr>
          <w:sz w:val="25"/>
          <w:szCs w:val="25"/>
        </w:rPr>
      </w:pPr>
      <w:r w:rsidRPr="00333C0F">
        <w:rPr>
          <w:sz w:val="25"/>
          <w:szCs w:val="25"/>
        </w:rPr>
        <w:t xml:space="preserve"> The learned Magistrat</w:t>
      </w:r>
      <w:r w:rsidRPr="00333C0F">
        <w:rPr>
          <w:sz w:val="25"/>
          <w:szCs w:val="25"/>
        </w:rPr>
        <w:t>e taking into consideration the aforesaid, by his order dated 20.08.2011, has rejected the application filed by the Respondent No.1.</w:t>
      </w:r>
    </w:p>
    <w:p w:rsidR="0010764D" w:rsidRPr="00333C0F" w:rsidRDefault="00A4173F">
      <w:pPr>
        <w:pStyle w:val="Bodytext0"/>
        <w:numPr>
          <w:ilvl w:val="0"/>
          <w:numId w:val="2"/>
        </w:numPr>
        <w:shd w:val="clear" w:color="auto" w:fill="auto"/>
        <w:spacing w:before="0" w:after="240" w:line="293" w:lineRule="exact"/>
        <w:ind w:left="20" w:right="300"/>
        <w:jc w:val="both"/>
        <w:rPr>
          <w:sz w:val="25"/>
          <w:szCs w:val="25"/>
        </w:rPr>
      </w:pPr>
      <w:r w:rsidRPr="00333C0F">
        <w:rPr>
          <w:sz w:val="25"/>
          <w:szCs w:val="25"/>
        </w:rPr>
        <w:t xml:space="preserve"> Aggrieved by the aforesaid order, the Respondent No. 1 had filed a petition under Section 482 of Cr.P.C. Before the High C</w:t>
      </w:r>
      <w:r w:rsidRPr="00333C0F">
        <w:rPr>
          <w:sz w:val="25"/>
          <w:szCs w:val="25"/>
        </w:rPr>
        <w:t>ourt. The High Court has allowed the aforesaid petition and in the course of the impugned judgment and order has observed that the AICTE does not have any locus to object to the application, filed by Respondent No. 1, for compounding of offence under Secti</w:t>
      </w:r>
      <w:r w:rsidRPr="00333C0F">
        <w:rPr>
          <w:sz w:val="25"/>
          <w:szCs w:val="25"/>
        </w:rPr>
        <w:t>on 320 of Cr.P.C. Aggrieved by the said judgment and order passed by the High Court, the AICTE is before us in this appeal.</w:t>
      </w:r>
    </w:p>
    <w:p w:rsidR="0010764D" w:rsidRPr="00333C0F" w:rsidRDefault="00A4173F">
      <w:pPr>
        <w:pStyle w:val="Bodytext0"/>
        <w:numPr>
          <w:ilvl w:val="0"/>
          <w:numId w:val="2"/>
        </w:numPr>
        <w:shd w:val="clear" w:color="auto" w:fill="auto"/>
        <w:spacing w:before="0" w:line="293" w:lineRule="exact"/>
        <w:ind w:left="20"/>
        <w:jc w:val="left"/>
        <w:rPr>
          <w:sz w:val="25"/>
          <w:szCs w:val="25"/>
        </w:rPr>
      </w:pPr>
      <w:r w:rsidRPr="00333C0F">
        <w:rPr>
          <w:sz w:val="25"/>
          <w:szCs w:val="25"/>
        </w:rPr>
        <w:t xml:space="preserve"> We have heard Shri Rakesh Dwivedi, learned senior counsel for the appellant and Shri</w:t>
      </w:r>
    </w:p>
    <w:p w:rsidR="0010764D" w:rsidRPr="00333C0F" w:rsidRDefault="00A4173F">
      <w:pPr>
        <w:pStyle w:val="Bodytext0"/>
        <w:shd w:val="clear" w:color="auto" w:fill="auto"/>
        <w:tabs>
          <w:tab w:val="left" w:pos="514"/>
        </w:tabs>
        <w:spacing w:before="0" w:line="293" w:lineRule="exact"/>
        <w:ind w:left="20"/>
        <w:jc w:val="both"/>
        <w:rPr>
          <w:sz w:val="25"/>
          <w:szCs w:val="25"/>
        </w:rPr>
      </w:pPr>
      <w:r w:rsidRPr="00333C0F">
        <w:rPr>
          <w:sz w:val="25"/>
          <w:szCs w:val="25"/>
        </w:rPr>
        <w:t xml:space="preserve">S.R. Singh, learned senior counsel for the </w:t>
      </w:r>
      <w:r w:rsidRPr="00333C0F">
        <w:rPr>
          <w:sz w:val="25"/>
          <w:szCs w:val="25"/>
        </w:rPr>
        <w:t>respondents.</w:t>
      </w:r>
    </w:p>
    <w:p w:rsidR="0010764D" w:rsidRPr="00333C0F" w:rsidRDefault="00A4173F">
      <w:pPr>
        <w:pStyle w:val="Bodytext0"/>
        <w:numPr>
          <w:ilvl w:val="0"/>
          <w:numId w:val="2"/>
        </w:numPr>
        <w:shd w:val="clear" w:color="auto" w:fill="auto"/>
        <w:spacing w:before="0" w:after="240" w:line="293" w:lineRule="exact"/>
        <w:ind w:left="20" w:right="60"/>
        <w:jc w:val="both"/>
        <w:rPr>
          <w:sz w:val="25"/>
          <w:szCs w:val="25"/>
        </w:rPr>
      </w:pPr>
      <w:r w:rsidRPr="00333C0F">
        <w:rPr>
          <w:sz w:val="25"/>
          <w:szCs w:val="25"/>
        </w:rPr>
        <w:t xml:space="preserve"> Sh. Dwivedi, would submit that Section 320 of Cr.P.C. provides for compounding of offence punishable under Sections notified in the table therein. He would draw our attention to the said table provided under sub- section (2) of Section 320 of</w:t>
      </w:r>
      <w:r w:rsidRPr="00333C0F">
        <w:rPr>
          <w:sz w:val="25"/>
          <w:szCs w:val="25"/>
        </w:rPr>
        <w:t xml:space="preserve"> Cr.P.C., wherein it is notified that the offence can be compounded only by the person who is cheated.</w:t>
      </w:r>
    </w:p>
    <w:p w:rsidR="0010764D" w:rsidRPr="00333C0F" w:rsidRDefault="00A4173F">
      <w:pPr>
        <w:pStyle w:val="Bodytext0"/>
        <w:numPr>
          <w:ilvl w:val="0"/>
          <w:numId w:val="2"/>
        </w:numPr>
        <w:shd w:val="clear" w:color="auto" w:fill="auto"/>
        <w:spacing w:before="0" w:after="240" w:line="293" w:lineRule="exact"/>
        <w:ind w:left="20" w:right="60"/>
        <w:jc w:val="both"/>
        <w:rPr>
          <w:sz w:val="25"/>
          <w:szCs w:val="25"/>
        </w:rPr>
      </w:pPr>
      <w:r w:rsidRPr="00333C0F">
        <w:rPr>
          <w:sz w:val="25"/>
          <w:szCs w:val="25"/>
        </w:rPr>
        <w:t xml:space="preserve"> Sh. S.R.Singh, learned senior counsel would submit that the CBI had suo moto initiated proceedings under the provisions of the IPC and als under the pro</w:t>
      </w:r>
      <w:r w:rsidRPr="00333C0F">
        <w:rPr>
          <w:sz w:val="25"/>
          <w:szCs w:val="25"/>
        </w:rPr>
        <w:t>visions of Prevention of Corruption Act, 1988 and not at the instance of AICTE and, therefore, AICTE cannot be said to be an aggrieved person and, thus, the High Court was justified in allowing the petition filed by the Respondent No.1.</w:t>
      </w:r>
    </w:p>
    <w:p w:rsidR="0010764D" w:rsidRPr="00333C0F" w:rsidRDefault="00A4173F">
      <w:pPr>
        <w:pStyle w:val="Bodytext0"/>
        <w:numPr>
          <w:ilvl w:val="0"/>
          <w:numId w:val="2"/>
        </w:numPr>
        <w:shd w:val="clear" w:color="auto" w:fill="auto"/>
        <w:spacing w:before="0" w:after="290" w:line="293" w:lineRule="exact"/>
        <w:ind w:left="20" w:right="60"/>
        <w:jc w:val="both"/>
        <w:rPr>
          <w:sz w:val="25"/>
          <w:szCs w:val="25"/>
        </w:rPr>
      </w:pPr>
      <w:r w:rsidRPr="00333C0F">
        <w:rPr>
          <w:sz w:val="25"/>
          <w:szCs w:val="25"/>
        </w:rPr>
        <w:t xml:space="preserve"> We have considered</w:t>
      </w:r>
      <w:r w:rsidRPr="00333C0F">
        <w:rPr>
          <w:sz w:val="25"/>
          <w:szCs w:val="25"/>
        </w:rPr>
        <w:t xml:space="preserve"> the rival submissions of both the learned senior counsels and perused documents on record. The only question which requires to be answered by us is, does the AICTE has locus to object to the application filed by the Respondent No.1 under Section 320 of th</w:t>
      </w:r>
      <w:r w:rsidRPr="00333C0F">
        <w:rPr>
          <w:sz w:val="25"/>
          <w:szCs w:val="25"/>
        </w:rPr>
        <w:t>e Cr.P.C. for compounding of offence under Section 420 of the IPC.</w:t>
      </w:r>
    </w:p>
    <w:p w:rsidR="0010764D" w:rsidRPr="00333C0F" w:rsidRDefault="00A4173F">
      <w:pPr>
        <w:pStyle w:val="Bodytext0"/>
        <w:numPr>
          <w:ilvl w:val="0"/>
          <w:numId w:val="2"/>
        </w:numPr>
        <w:shd w:val="clear" w:color="auto" w:fill="auto"/>
        <w:spacing w:before="0" w:after="258" w:line="230" w:lineRule="exact"/>
        <w:ind w:left="20"/>
        <w:jc w:val="both"/>
        <w:rPr>
          <w:sz w:val="25"/>
          <w:szCs w:val="25"/>
        </w:rPr>
      </w:pPr>
      <w:r w:rsidRPr="00333C0F">
        <w:rPr>
          <w:sz w:val="25"/>
          <w:szCs w:val="25"/>
        </w:rPr>
        <w:t xml:space="preserve"> The relevant provision, i.e., Sub-Section (2) of Section 320 of Cr.P.C. reads as under:</w:t>
      </w:r>
    </w:p>
    <w:p w:rsidR="0010764D" w:rsidRPr="00333C0F" w:rsidRDefault="00A4173F">
      <w:pPr>
        <w:pStyle w:val="Bodytext0"/>
        <w:shd w:val="clear" w:color="auto" w:fill="auto"/>
        <w:spacing w:before="0" w:after="302" w:line="293" w:lineRule="exact"/>
        <w:ind w:left="740" w:right="60"/>
        <w:jc w:val="both"/>
        <w:rPr>
          <w:sz w:val="25"/>
          <w:szCs w:val="25"/>
        </w:rPr>
      </w:pPr>
      <w:r w:rsidRPr="00333C0F">
        <w:rPr>
          <w:sz w:val="25"/>
          <w:szCs w:val="25"/>
        </w:rPr>
        <w:t>"(2) The offences punishable under the section of the Indian Penal code (45 of 1860) specified in th</w:t>
      </w:r>
      <w:r w:rsidRPr="00333C0F">
        <w:rPr>
          <w:sz w:val="25"/>
          <w:szCs w:val="25"/>
        </w:rPr>
        <w:t>e first two columns of the table next following may, with the permission of the Court before which any prosecution for such offence is pending, be compounded by the persons mentioned in the third column of that table:-"</w:t>
      </w:r>
    </w:p>
    <w:p w:rsidR="0010764D" w:rsidRPr="00333C0F" w:rsidRDefault="00A4173F">
      <w:pPr>
        <w:pStyle w:val="Tablecaption0"/>
        <w:framePr w:w="8362" w:wrap="notBeside" w:vAnchor="text" w:hAnchor="text" w:y="1"/>
        <w:shd w:val="clear" w:color="auto" w:fill="auto"/>
        <w:spacing w:line="230" w:lineRule="exact"/>
        <w:rPr>
          <w:sz w:val="25"/>
          <w:szCs w:val="25"/>
        </w:rPr>
      </w:pPr>
      <w:r w:rsidRPr="00333C0F">
        <w:rPr>
          <w:sz w:val="25"/>
          <w:szCs w:val="25"/>
        </w:rPr>
        <w:t>The table appended to said sub-secti</w:t>
      </w:r>
      <w:r w:rsidRPr="00333C0F">
        <w:rPr>
          <w:sz w:val="25"/>
          <w:szCs w:val="25"/>
        </w:rPr>
        <w:t>on is also extracted below:-</w:t>
      </w:r>
    </w:p>
    <w:tbl>
      <w:tblPr>
        <w:tblOverlap w:val="never"/>
        <w:tblW w:w="0" w:type="auto"/>
        <w:tblLayout w:type="fixed"/>
        <w:tblCellMar>
          <w:left w:w="10" w:type="dxa"/>
          <w:right w:w="10" w:type="dxa"/>
        </w:tblCellMar>
        <w:tblLook w:val="04A0"/>
      </w:tblPr>
      <w:tblGrid>
        <w:gridCol w:w="3408"/>
        <w:gridCol w:w="2458"/>
        <w:gridCol w:w="706"/>
        <w:gridCol w:w="283"/>
        <w:gridCol w:w="1507"/>
      </w:tblGrid>
      <w:tr w:rsidR="0010764D" w:rsidRPr="00333C0F">
        <w:tblPrEx>
          <w:tblCellMar>
            <w:top w:w="0" w:type="dxa"/>
            <w:bottom w:w="0" w:type="dxa"/>
          </w:tblCellMar>
        </w:tblPrEx>
        <w:trPr>
          <w:trHeight w:hRule="exact" w:val="749"/>
        </w:trPr>
        <w:tc>
          <w:tcPr>
            <w:tcW w:w="3408" w:type="dxa"/>
            <w:tcBorders>
              <w:top w:val="single" w:sz="4" w:space="0" w:color="auto"/>
              <w:left w:val="single" w:sz="4" w:space="0" w:color="auto"/>
            </w:tcBorders>
            <w:shd w:val="clear" w:color="auto" w:fill="FFFFFF"/>
            <w:vAlign w:val="bottom"/>
          </w:tcPr>
          <w:p w:rsidR="0010764D" w:rsidRPr="00333C0F" w:rsidRDefault="00A4173F">
            <w:pPr>
              <w:pStyle w:val="Bodytext0"/>
              <w:framePr w:w="8362" w:wrap="notBeside" w:vAnchor="text" w:hAnchor="text" w:y="1"/>
              <w:shd w:val="clear" w:color="auto" w:fill="auto"/>
              <w:spacing w:before="0" w:line="221" w:lineRule="exact"/>
              <w:ind w:left="160"/>
              <w:jc w:val="left"/>
              <w:rPr>
                <w:sz w:val="25"/>
                <w:szCs w:val="25"/>
              </w:rPr>
            </w:pPr>
            <w:r w:rsidRPr="00333C0F">
              <w:rPr>
                <w:rStyle w:val="BodytextCourierNew"/>
                <w:sz w:val="25"/>
                <w:szCs w:val="25"/>
              </w:rPr>
              <w:t>|Offence offence | 1</w:t>
            </w:r>
          </w:p>
          <w:p w:rsidR="0010764D" w:rsidRPr="00333C0F" w:rsidRDefault="00A4173F">
            <w:pPr>
              <w:pStyle w:val="Bodytext0"/>
              <w:framePr w:w="8362" w:wrap="notBeside" w:vAnchor="text" w:hAnchor="text" w:y="1"/>
              <w:shd w:val="clear" w:color="auto" w:fill="auto"/>
              <w:spacing w:before="0" w:line="180" w:lineRule="exact"/>
              <w:ind w:left="880"/>
              <w:jc w:val="left"/>
              <w:rPr>
                <w:sz w:val="25"/>
                <w:szCs w:val="25"/>
              </w:rPr>
            </w:pPr>
            <w:r w:rsidRPr="00333C0F">
              <w:rPr>
                <w:rStyle w:val="BodytextCourierNew"/>
                <w:sz w:val="25"/>
                <w:szCs w:val="25"/>
              </w:rPr>
              <w:t>1</w:t>
            </w:r>
          </w:p>
        </w:tc>
        <w:tc>
          <w:tcPr>
            <w:tcW w:w="2458" w:type="dxa"/>
            <w:tcBorders>
              <w:top w:val="single" w:sz="4" w:space="0" w:color="auto"/>
            </w:tcBorders>
            <w:shd w:val="clear" w:color="auto" w:fill="FFFFFF"/>
          </w:tcPr>
          <w:p w:rsidR="0010764D" w:rsidRPr="00333C0F" w:rsidRDefault="00A4173F">
            <w:pPr>
              <w:pStyle w:val="Bodytext0"/>
              <w:framePr w:w="8362" w:wrap="notBeside" w:vAnchor="text" w:hAnchor="text" w:y="1"/>
              <w:shd w:val="clear" w:color="auto" w:fill="auto"/>
              <w:spacing w:before="0" w:line="422" w:lineRule="exact"/>
              <w:ind w:left="120"/>
              <w:jc w:val="left"/>
              <w:rPr>
                <w:sz w:val="25"/>
                <w:szCs w:val="25"/>
              </w:rPr>
            </w:pPr>
            <w:r w:rsidRPr="00333C0F">
              <w:rPr>
                <w:rStyle w:val="BodytextCourierNew"/>
                <w:sz w:val="25"/>
                <w:szCs w:val="25"/>
              </w:rPr>
              <w:t>|Section of the |Indian Penal Code</w:t>
            </w:r>
          </w:p>
        </w:tc>
        <w:tc>
          <w:tcPr>
            <w:tcW w:w="989" w:type="dxa"/>
            <w:gridSpan w:val="2"/>
            <w:tcBorders>
              <w:top w:val="single" w:sz="4" w:space="0" w:color="auto"/>
            </w:tcBorders>
            <w:shd w:val="clear" w:color="auto" w:fill="FFFFFF"/>
          </w:tcPr>
          <w:p w:rsidR="0010764D" w:rsidRPr="00333C0F" w:rsidRDefault="00A4173F">
            <w:pPr>
              <w:pStyle w:val="Bodytext0"/>
              <w:framePr w:w="8362" w:wrap="notBeside" w:vAnchor="text" w:hAnchor="text" w:y="1"/>
              <w:shd w:val="clear" w:color="auto" w:fill="auto"/>
              <w:spacing w:before="0" w:line="422" w:lineRule="exact"/>
              <w:jc w:val="both"/>
              <w:rPr>
                <w:sz w:val="25"/>
                <w:szCs w:val="25"/>
              </w:rPr>
            </w:pPr>
            <w:r w:rsidRPr="00333C0F">
              <w:rPr>
                <w:rStyle w:val="BodytextCourierNew"/>
                <w:sz w:val="25"/>
                <w:szCs w:val="25"/>
              </w:rPr>
              <w:t>|Person |may be</w:t>
            </w:r>
          </w:p>
        </w:tc>
        <w:tc>
          <w:tcPr>
            <w:tcW w:w="1507" w:type="dxa"/>
            <w:tcBorders>
              <w:top w:val="single" w:sz="4" w:space="0" w:color="auto"/>
              <w:right w:val="single" w:sz="4" w:space="0" w:color="auto"/>
            </w:tcBorders>
            <w:shd w:val="clear" w:color="auto" w:fill="FFFFFF"/>
          </w:tcPr>
          <w:p w:rsidR="0010764D" w:rsidRPr="00333C0F" w:rsidRDefault="00A4173F">
            <w:pPr>
              <w:pStyle w:val="Bodytext0"/>
              <w:framePr w:w="8362" w:wrap="notBeside" w:vAnchor="text" w:hAnchor="text" w:y="1"/>
              <w:shd w:val="clear" w:color="auto" w:fill="auto"/>
              <w:spacing w:before="0" w:line="422" w:lineRule="exact"/>
              <w:ind w:left="120"/>
              <w:jc w:val="left"/>
              <w:rPr>
                <w:sz w:val="25"/>
                <w:szCs w:val="25"/>
              </w:rPr>
            </w:pPr>
            <w:r w:rsidRPr="00333C0F">
              <w:rPr>
                <w:rStyle w:val="BodytextCourierNew"/>
                <w:sz w:val="25"/>
                <w:szCs w:val="25"/>
              </w:rPr>
              <w:t>by whom compounded</w:t>
            </w:r>
          </w:p>
        </w:tc>
      </w:tr>
      <w:tr w:rsidR="0010764D" w:rsidRPr="00333C0F">
        <w:tblPrEx>
          <w:tblCellMar>
            <w:top w:w="0" w:type="dxa"/>
            <w:bottom w:w="0" w:type="dxa"/>
          </w:tblCellMar>
        </w:tblPrEx>
        <w:trPr>
          <w:trHeight w:hRule="exact" w:val="422"/>
        </w:trPr>
        <w:tc>
          <w:tcPr>
            <w:tcW w:w="3408" w:type="dxa"/>
            <w:tcBorders>
              <w:left w:val="single" w:sz="4" w:space="0" w:color="auto"/>
            </w:tcBorders>
            <w:shd w:val="clear" w:color="auto" w:fill="FFFFFF"/>
            <w:vAlign w:val="bottom"/>
          </w:tcPr>
          <w:p w:rsidR="0010764D" w:rsidRPr="00333C0F" w:rsidRDefault="00A4173F">
            <w:pPr>
              <w:pStyle w:val="Bodytext0"/>
              <w:framePr w:w="8362" w:wrap="notBeside" w:vAnchor="text" w:hAnchor="text" w:y="1"/>
              <w:shd w:val="clear" w:color="auto" w:fill="auto"/>
              <w:spacing w:before="0" w:line="180" w:lineRule="exact"/>
              <w:ind w:left="880"/>
              <w:jc w:val="left"/>
              <w:rPr>
                <w:sz w:val="25"/>
                <w:szCs w:val="25"/>
              </w:rPr>
            </w:pPr>
            <w:r w:rsidRPr="00333C0F">
              <w:rPr>
                <w:rStyle w:val="BodytextCourierNew"/>
                <w:sz w:val="25"/>
                <w:szCs w:val="25"/>
                <w:vertAlign w:val="superscript"/>
              </w:rPr>
              <w:t>1</w:t>
            </w:r>
          </w:p>
          <w:p w:rsidR="0010764D" w:rsidRPr="00333C0F" w:rsidRDefault="00A4173F">
            <w:pPr>
              <w:pStyle w:val="Bodytext0"/>
              <w:framePr w:w="8362" w:wrap="notBeside" w:vAnchor="text" w:hAnchor="text" w:y="1"/>
              <w:shd w:val="clear" w:color="auto" w:fill="auto"/>
              <w:spacing w:before="0" w:line="180" w:lineRule="exact"/>
              <w:ind w:left="880" w:hanging="740"/>
              <w:jc w:val="left"/>
              <w:rPr>
                <w:sz w:val="25"/>
                <w:szCs w:val="25"/>
              </w:rPr>
            </w:pPr>
            <w:r w:rsidRPr="00333C0F">
              <w:rPr>
                <w:rStyle w:val="BodytextCourierNew"/>
                <w:sz w:val="25"/>
                <w:szCs w:val="25"/>
              </w:rPr>
              <w:t>1</w:t>
            </w:r>
          </w:p>
          <w:p w:rsidR="0010764D" w:rsidRPr="00333C0F" w:rsidRDefault="00A4173F">
            <w:pPr>
              <w:pStyle w:val="Bodytext0"/>
              <w:framePr w:w="8362" w:wrap="notBeside" w:vAnchor="text" w:hAnchor="text" w:y="1"/>
              <w:shd w:val="clear" w:color="auto" w:fill="auto"/>
              <w:spacing w:before="0" w:line="180" w:lineRule="exact"/>
              <w:ind w:left="880"/>
              <w:jc w:val="left"/>
              <w:rPr>
                <w:sz w:val="25"/>
                <w:szCs w:val="25"/>
              </w:rPr>
            </w:pPr>
            <w:r w:rsidRPr="00333C0F">
              <w:rPr>
                <w:rStyle w:val="BodytextCourierNew"/>
                <w:sz w:val="25"/>
                <w:szCs w:val="25"/>
              </w:rPr>
              <w:t>1</w:t>
            </w:r>
          </w:p>
        </w:tc>
        <w:tc>
          <w:tcPr>
            <w:tcW w:w="2458" w:type="dxa"/>
            <w:shd w:val="clear" w:color="auto" w:fill="FFFFFF"/>
            <w:vAlign w:val="center"/>
          </w:tcPr>
          <w:p w:rsidR="0010764D" w:rsidRPr="00333C0F" w:rsidRDefault="00A4173F">
            <w:pPr>
              <w:pStyle w:val="Bodytext0"/>
              <w:framePr w:w="8362" w:wrap="notBeside" w:vAnchor="text" w:hAnchor="text" w:y="1"/>
              <w:shd w:val="clear" w:color="auto" w:fill="auto"/>
              <w:spacing w:before="0" w:line="180" w:lineRule="exact"/>
              <w:ind w:left="120"/>
              <w:jc w:val="left"/>
              <w:rPr>
                <w:sz w:val="25"/>
                <w:szCs w:val="25"/>
              </w:rPr>
            </w:pPr>
            <w:r w:rsidRPr="00333C0F">
              <w:rPr>
                <w:rStyle w:val="BodytextCourierNew"/>
                <w:sz w:val="25"/>
                <w:szCs w:val="25"/>
              </w:rPr>
              <w:t>|applicable</w:t>
            </w:r>
          </w:p>
        </w:tc>
        <w:tc>
          <w:tcPr>
            <w:tcW w:w="706" w:type="dxa"/>
            <w:shd w:val="clear" w:color="auto" w:fill="FFFFFF"/>
            <w:vAlign w:val="center"/>
          </w:tcPr>
          <w:p w:rsidR="0010764D" w:rsidRPr="00333C0F" w:rsidRDefault="00A4173F">
            <w:pPr>
              <w:pStyle w:val="Bodytext0"/>
              <w:framePr w:w="8362" w:wrap="notBeside" w:vAnchor="text" w:hAnchor="text" w:y="1"/>
              <w:shd w:val="clear" w:color="auto" w:fill="auto"/>
              <w:spacing w:before="0" w:line="180" w:lineRule="exact"/>
              <w:ind w:left="180"/>
              <w:jc w:val="left"/>
              <w:rPr>
                <w:sz w:val="25"/>
                <w:szCs w:val="25"/>
              </w:rPr>
            </w:pPr>
            <w:r w:rsidRPr="00333C0F">
              <w:rPr>
                <w:rStyle w:val="BodytextCourierNew"/>
                <w:sz w:val="25"/>
                <w:szCs w:val="25"/>
              </w:rPr>
              <w:t>|</w:t>
            </w:r>
          </w:p>
        </w:tc>
        <w:tc>
          <w:tcPr>
            <w:tcW w:w="283" w:type="dxa"/>
            <w:shd w:val="clear" w:color="auto" w:fill="FFFFFF"/>
          </w:tcPr>
          <w:p w:rsidR="0010764D" w:rsidRPr="00333C0F" w:rsidRDefault="0010764D">
            <w:pPr>
              <w:framePr w:w="8362" w:wrap="notBeside" w:vAnchor="text" w:hAnchor="text" w:y="1"/>
              <w:rPr>
                <w:sz w:val="25"/>
                <w:szCs w:val="25"/>
              </w:rPr>
            </w:pPr>
          </w:p>
        </w:tc>
        <w:tc>
          <w:tcPr>
            <w:tcW w:w="1507" w:type="dxa"/>
            <w:tcBorders>
              <w:right w:val="single" w:sz="4" w:space="0" w:color="auto"/>
            </w:tcBorders>
            <w:shd w:val="clear" w:color="auto" w:fill="FFFFFF"/>
          </w:tcPr>
          <w:p w:rsidR="0010764D" w:rsidRPr="00333C0F" w:rsidRDefault="0010764D">
            <w:pPr>
              <w:framePr w:w="8362" w:wrap="notBeside" w:vAnchor="text" w:hAnchor="text" w:y="1"/>
              <w:rPr>
                <w:sz w:val="25"/>
                <w:szCs w:val="25"/>
              </w:rPr>
            </w:pPr>
          </w:p>
        </w:tc>
      </w:tr>
      <w:tr w:rsidR="0010764D" w:rsidRPr="00333C0F">
        <w:tblPrEx>
          <w:tblCellMar>
            <w:top w:w="0" w:type="dxa"/>
            <w:bottom w:w="0" w:type="dxa"/>
          </w:tblCellMar>
        </w:tblPrEx>
        <w:trPr>
          <w:trHeight w:hRule="exact" w:val="408"/>
        </w:trPr>
        <w:tc>
          <w:tcPr>
            <w:tcW w:w="3408" w:type="dxa"/>
            <w:tcBorders>
              <w:left w:val="single" w:sz="4" w:space="0" w:color="auto"/>
            </w:tcBorders>
            <w:shd w:val="clear" w:color="auto" w:fill="FFFFFF"/>
            <w:vAlign w:val="bottom"/>
          </w:tcPr>
          <w:p w:rsidR="0010764D" w:rsidRPr="00333C0F" w:rsidRDefault="00A4173F">
            <w:pPr>
              <w:pStyle w:val="Bodytext0"/>
              <w:framePr w:w="8362" w:wrap="notBeside" w:vAnchor="text" w:hAnchor="text" w:y="1"/>
              <w:shd w:val="clear" w:color="auto" w:fill="auto"/>
              <w:spacing w:before="0" w:line="180" w:lineRule="exact"/>
              <w:ind w:left="880"/>
              <w:jc w:val="left"/>
              <w:rPr>
                <w:sz w:val="25"/>
                <w:szCs w:val="25"/>
              </w:rPr>
            </w:pPr>
            <w:r w:rsidRPr="00333C0F">
              <w:rPr>
                <w:rStyle w:val="BodytextCourierNew"/>
                <w:sz w:val="25"/>
                <w:szCs w:val="25"/>
                <w:vertAlign w:val="superscript"/>
              </w:rPr>
              <w:t>1</w:t>
            </w:r>
          </w:p>
          <w:p w:rsidR="0010764D" w:rsidRPr="00333C0F" w:rsidRDefault="00A4173F">
            <w:pPr>
              <w:pStyle w:val="Bodytext0"/>
              <w:framePr w:w="8362" w:wrap="notBeside" w:vAnchor="text" w:hAnchor="text" w:y="1"/>
              <w:shd w:val="clear" w:color="auto" w:fill="auto"/>
              <w:spacing w:before="0" w:line="180" w:lineRule="exact"/>
              <w:ind w:left="880" w:hanging="740"/>
              <w:jc w:val="left"/>
              <w:rPr>
                <w:sz w:val="25"/>
                <w:szCs w:val="25"/>
              </w:rPr>
            </w:pPr>
            <w:r w:rsidRPr="00333C0F">
              <w:rPr>
                <w:rStyle w:val="BodytextCourierNew"/>
                <w:sz w:val="25"/>
                <w:szCs w:val="25"/>
              </w:rPr>
              <w:t>|1</w:t>
            </w:r>
          </w:p>
          <w:p w:rsidR="0010764D" w:rsidRPr="00333C0F" w:rsidRDefault="00A4173F">
            <w:pPr>
              <w:pStyle w:val="Bodytext0"/>
              <w:framePr w:w="8362" w:wrap="notBeside" w:vAnchor="text" w:hAnchor="text" w:y="1"/>
              <w:shd w:val="clear" w:color="auto" w:fill="auto"/>
              <w:spacing w:before="0" w:line="180" w:lineRule="exact"/>
              <w:ind w:left="880"/>
              <w:jc w:val="left"/>
              <w:rPr>
                <w:sz w:val="25"/>
                <w:szCs w:val="25"/>
              </w:rPr>
            </w:pPr>
            <w:r w:rsidRPr="00333C0F">
              <w:rPr>
                <w:rStyle w:val="BodytextCourierNew"/>
                <w:sz w:val="25"/>
                <w:szCs w:val="25"/>
              </w:rPr>
              <w:t>1</w:t>
            </w:r>
          </w:p>
        </w:tc>
        <w:tc>
          <w:tcPr>
            <w:tcW w:w="2458" w:type="dxa"/>
            <w:shd w:val="clear" w:color="auto" w:fill="FFFFFF"/>
            <w:vAlign w:val="center"/>
          </w:tcPr>
          <w:p w:rsidR="0010764D" w:rsidRPr="00333C0F" w:rsidRDefault="00A4173F">
            <w:pPr>
              <w:pStyle w:val="Bodytext0"/>
              <w:framePr w:w="8362" w:wrap="notBeside" w:vAnchor="text" w:hAnchor="text" w:y="1"/>
              <w:shd w:val="clear" w:color="auto" w:fill="auto"/>
              <w:spacing w:before="0" w:line="180" w:lineRule="exact"/>
              <w:ind w:left="120"/>
              <w:jc w:val="left"/>
              <w:rPr>
                <w:sz w:val="25"/>
                <w:szCs w:val="25"/>
              </w:rPr>
            </w:pPr>
            <w:r w:rsidRPr="00333C0F">
              <w:rPr>
                <w:rStyle w:val="BodytextCourierNew"/>
                <w:sz w:val="25"/>
                <w:szCs w:val="25"/>
              </w:rPr>
              <w:t>|2</w:t>
            </w:r>
          </w:p>
        </w:tc>
        <w:tc>
          <w:tcPr>
            <w:tcW w:w="706" w:type="dxa"/>
            <w:shd w:val="clear" w:color="auto" w:fill="FFFFFF"/>
            <w:vAlign w:val="center"/>
          </w:tcPr>
          <w:p w:rsidR="0010764D" w:rsidRPr="00333C0F" w:rsidRDefault="00A4173F">
            <w:pPr>
              <w:pStyle w:val="Bodytext0"/>
              <w:framePr w:w="8362" w:wrap="notBeside" w:vAnchor="text" w:hAnchor="text" w:y="1"/>
              <w:shd w:val="clear" w:color="auto" w:fill="auto"/>
              <w:spacing w:before="0" w:line="180" w:lineRule="exact"/>
              <w:ind w:left="180"/>
              <w:jc w:val="left"/>
              <w:rPr>
                <w:sz w:val="25"/>
                <w:szCs w:val="25"/>
              </w:rPr>
            </w:pPr>
            <w:r w:rsidRPr="00333C0F">
              <w:rPr>
                <w:rStyle w:val="BodytextCourierNew"/>
                <w:sz w:val="25"/>
                <w:szCs w:val="25"/>
              </w:rPr>
              <w:t>|3</w:t>
            </w:r>
          </w:p>
        </w:tc>
        <w:tc>
          <w:tcPr>
            <w:tcW w:w="283" w:type="dxa"/>
            <w:shd w:val="clear" w:color="auto" w:fill="FFFFFF"/>
          </w:tcPr>
          <w:p w:rsidR="0010764D" w:rsidRPr="00333C0F" w:rsidRDefault="0010764D">
            <w:pPr>
              <w:framePr w:w="8362" w:wrap="notBeside" w:vAnchor="text" w:hAnchor="text" w:y="1"/>
              <w:rPr>
                <w:sz w:val="25"/>
                <w:szCs w:val="25"/>
              </w:rPr>
            </w:pPr>
          </w:p>
        </w:tc>
        <w:tc>
          <w:tcPr>
            <w:tcW w:w="1507" w:type="dxa"/>
            <w:tcBorders>
              <w:right w:val="single" w:sz="4" w:space="0" w:color="auto"/>
            </w:tcBorders>
            <w:shd w:val="clear" w:color="auto" w:fill="FFFFFF"/>
          </w:tcPr>
          <w:p w:rsidR="0010764D" w:rsidRPr="00333C0F" w:rsidRDefault="0010764D">
            <w:pPr>
              <w:framePr w:w="8362" w:wrap="notBeside" w:vAnchor="text" w:hAnchor="text" w:y="1"/>
              <w:rPr>
                <w:sz w:val="25"/>
                <w:szCs w:val="25"/>
              </w:rPr>
            </w:pPr>
          </w:p>
        </w:tc>
      </w:tr>
      <w:tr w:rsidR="0010764D" w:rsidRPr="00333C0F">
        <w:tblPrEx>
          <w:tblCellMar>
            <w:top w:w="0" w:type="dxa"/>
            <w:bottom w:w="0" w:type="dxa"/>
          </w:tblCellMar>
        </w:tblPrEx>
        <w:trPr>
          <w:trHeight w:hRule="exact" w:val="864"/>
        </w:trPr>
        <w:tc>
          <w:tcPr>
            <w:tcW w:w="3408" w:type="dxa"/>
            <w:tcBorders>
              <w:left w:val="single" w:sz="4" w:space="0" w:color="auto"/>
            </w:tcBorders>
            <w:shd w:val="clear" w:color="auto" w:fill="FFFFFF"/>
            <w:vAlign w:val="bottom"/>
          </w:tcPr>
          <w:p w:rsidR="0010764D" w:rsidRPr="00333C0F" w:rsidRDefault="00A4173F">
            <w:pPr>
              <w:pStyle w:val="Bodytext0"/>
              <w:framePr w:w="8362" w:wrap="notBeside" w:vAnchor="text" w:hAnchor="text" w:y="1"/>
              <w:shd w:val="clear" w:color="auto" w:fill="auto"/>
              <w:spacing w:before="0" w:line="197" w:lineRule="exact"/>
              <w:ind w:left="880"/>
              <w:jc w:val="left"/>
              <w:rPr>
                <w:sz w:val="25"/>
                <w:szCs w:val="25"/>
              </w:rPr>
            </w:pPr>
            <w:r w:rsidRPr="00333C0F">
              <w:rPr>
                <w:rStyle w:val="BodytextCourierNew"/>
                <w:sz w:val="25"/>
                <w:szCs w:val="25"/>
              </w:rPr>
              <w:t>1</w:t>
            </w:r>
          </w:p>
          <w:p w:rsidR="0010764D" w:rsidRPr="00333C0F" w:rsidRDefault="00A4173F">
            <w:pPr>
              <w:pStyle w:val="Bodytext0"/>
              <w:framePr w:w="8362" w:wrap="notBeside" w:vAnchor="text" w:hAnchor="text" w:y="1"/>
              <w:shd w:val="clear" w:color="auto" w:fill="auto"/>
              <w:spacing w:before="0" w:line="197" w:lineRule="exact"/>
              <w:ind w:left="160"/>
              <w:jc w:val="left"/>
              <w:rPr>
                <w:sz w:val="25"/>
                <w:szCs w:val="25"/>
              </w:rPr>
            </w:pPr>
            <w:r w:rsidRPr="00333C0F">
              <w:rPr>
                <w:rStyle w:val="BodytextCourierNew"/>
                <w:sz w:val="25"/>
                <w:szCs w:val="25"/>
              </w:rPr>
              <w:t>|Cheating and dishonestly cheated. |</w:t>
            </w:r>
          </w:p>
          <w:p w:rsidR="0010764D" w:rsidRPr="00333C0F" w:rsidRDefault="00A4173F">
            <w:pPr>
              <w:pStyle w:val="Bodytext0"/>
              <w:framePr w:w="8362" w:wrap="notBeside" w:vAnchor="text" w:hAnchor="text" w:y="1"/>
              <w:shd w:val="clear" w:color="auto" w:fill="auto"/>
              <w:spacing w:before="0" w:line="197" w:lineRule="exact"/>
              <w:ind w:left="880" w:hanging="740"/>
              <w:jc w:val="left"/>
              <w:rPr>
                <w:sz w:val="25"/>
                <w:szCs w:val="25"/>
              </w:rPr>
            </w:pPr>
            <w:r w:rsidRPr="00333C0F">
              <w:rPr>
                <w:rStyle w:val="BodytextCourierNew"/>
                <w:sz w:val="25"/>
                <w:szCs w:val="25"/>
              </w:rPr>
              <w:t>|inducing delivery of 1</w:t>
            </w:r>
          </w:p>
        </w:tc>
        <w:tc>
          <w:tcPr>
            <w:tcW w:w="2458" w:type="dxa"/>
            <w:shd w:val="clear" w:color="auto" w:fill="FFFFFF"/>
            <w:vAlign w:val="center"/>
          </w:tcPr>
          <w:p w:rsidR="0010764D" w:rsidRPr="00333C0F" w:rsidRDefault="00A4173F">
            <w:pPr>
              <w:pStyle w:val="Bodytext0"/>
              <w:framePr w:w="8362" w:wrap="notBeside" w:vAnchor="text" w:hAnchor="text" w:y="1"/>
              <w:shd w:val="clear" w:color="auto" w:fill="auto"/>
              <w:spacing w:before="0" w:line="442" w:lineRule="exact"/>
              <w:ind w:left="120"/>
              <w:jc w:val="left"/>
              <w:rPr>
                <w:sz w:val="25"/>
                <w:szCs w:val="25"/>
              </w:rPr>
            </w:pPr>
            <w:r w:rsidRPr="00333C0F">
              <w:rPr>
                <w:rStyle w:val="BodytextCourierNew"/>
                <w:sz w:val="25"/>
                <w:szCs w:val="25"/>
              </w:rPr>
              <w:t>|42 0 |</w:t>
            </w:r>
          </w:p>
        </w:tc>
        <w:tc>
          <w:tcPr>
            <w:tcW w:w="706" w:type="dxa"/>
            <w:shd w:val="clear" w:color="auto" w:fill="FFFFFF"/>
            <w:vAlign w:val="center"/>
          </w:tcPr>
          <w:p w:rsidR="0010764D" w:rsidRPr="00333C0F" w:rsidRDefault="00A4173F">
            <w:pPr>
              <w:pStyle w:val="Bodytext0"/>
              <w:framePr w:w="8362" w:wrap="notBeside" w:vAnchor="text" w:hAnchor="text" w:y="1"/>
              <w:shd w:val="clear" w:color="auto" w:fill="auto"/>
              <w:spacing w:before="0" w:after="240" w:line="180" w:lineRule="exact"/>
              <w:ind w:left="180"/>
              <w:jc w:val="left"/>
              <w:rPr>
                <w:sz w:val="25"/>
                <w:szCs w:val="25"/>
              </w:rPr>
            </w:pPr>
            <w:r w:rsidRPr="00333C0F">
              <w:rPr>
                <w:rStyle w:val="BodytextCourierNew"/>
                <w:sz w:val="25"/>
                <w:szCs w:val="25"/>
              </w:rPr>
              <w:t>|The</w:t>
            </w:r>
          </w:p>
          <w:p w:rsidR="0010764D" w:rsidRPr="00333C0F" w:rsidRDefault="00A4173F">
            <w:pPr>
              <w:pStyle w:val="Bodytext0"/>
              <w:framePr w:w="8362" w:wrap="notBeside" w:vAnchor="text" w:hAnchor="text" w:y="1"/>
              <w:shd w:val="clear" w:color="auto" w:fill="auto"/>
              <w:spacing w:before="240" w:line="180" w:lineRule="exact"/>
              <w:ind w:left="180"/>
              <w:jc w:val="left"/>
              <w:rPr>
                <w:sz w:val="25"/>
                <w:szCs w:val="25"/>
              </w:rPr>
            </w:pPr>
            <w:r w:rsidRPr="00333C0F">
              <w:rPr>
                <w:rStyle w:val="BodytextCourierNew"/>
                <w:sz w:val="25"/>
                <w:szCs w:val="25"/>
              </w:rPr>
              <w:t>|</w:t>
            </w:r>
          </w:p>
        </w:tc>
        <w:tc>
          <w:tcPr>
            <w:tcW w:w="1790" w:type="dxa"/>
            <w:gridSpan w:val="2"/>
            <w:tcBorders>
              <w:right w:val="single" w:sz="4" w:space="0" w:color="auto"/>
            </w:tcBorders>
            <w:shd w:val="clear" w:color="auto" w:fill="FFFFFF"/>
          </w:tcPr>
          <w:p w:rsidR="0010764D" w:rsidRPr="00333C0F" w:rsidRDefault="00A4173F">
            <w:pPr>
              <w:pStyle w:val="Bodytext0"/>
              <w:framePr w:w="8362" w:wrap="notBeside" w:vAnchor="text" w:hAnchor="text" w:y="1"/>
              <w:shd w:val="clear" w:color="auto" w:fill="auto"/>
              <w:spacing w:before="0" w:line="180" w:lineRule="exact"/>
              <w:ind w:left="20"/>
              <w:jc w:val="left"/>
              <w:rPr>
                <w:sz w:val="25"/>
                <w:szCs w:val="25"/>
              </w:rPr>
            </w:pPr>
            <w:r w:rsidRPr="00333C0F">
              <w:rPr>
                <w:rStyle w:val="BodytextCourierNew"/>
                <w:sz w:val="25"/>
                <w:szCs w:val="25"/>
              </w:rPr>
              <w:t>person</w:t>
            </w:r>
          </w:p>
        </w:tc>
      </w:tr>
      <w:tr w:rsidR="0010764D" w:rsidRPr="00333C0F">
        <w:tblPrEx>
          <w:tblCellMar>
            <w:top w:w="0" w:type="dxa"/>
            <w:bottom w:w="0" w:type="dxa"/>
          </w:tblCellMar>
        </w:tblPrEx>
        <w:trPr>
          <w:trHeight w:hRule="exact" w:val="422"/>
        </w:trPr>
        <w:tc>
          <w:tcPr>
            <w:tcW w:w="3408" w:type="dxa"/>
            <w:tcBorders>
              <w:left w:val="single" w:sz="4" w:space="0" w:color="auto"/>
            </w:tcBorders>
            <w:shd w:val="clear" w:color="auto" w:fill="FFFFFF"/>
            <w:vAlign w:val="bottom"/>
          </w:tcPr>
          <w:p w:rsidR="0010764D" w:rsidRPr="00333C0F" w:rsidRDefault="00A4173F">
            <w:pPr>
              <w:pStyle w:val="Bodytext0"/>
              <w:framePr w:w="8362" w:wrap="notBeside" w:vAnchor="text" w:hAnchor="text" w:y="1"/>
              <w:shd w:val="clear" w:color="auto" w:fill="auto"/>
              <w:spacing w:before="0" w:line="187" w:lineRule="exact"/>
              <w:ind w:left="880"/>
              <w:jc w:val="left"/>
              <w:rPr>
                <w:sz w:val="25"/>
                <w:szCs w:val="25"/>
              </w:rPr>
            </w:pPr>
            <w:r w:rsidRPr="00333C0F">
              <w:rPr>
                <w:rStyle w:val="BodytextCourierNew"/>
                <w:sz w:val="25"/>
                <w:szCs w:val="25"/>
                <w:vertAlign w:val="superscript"/>
              </w:rPr>
              <w:t>1</w:t>
            </w:r>
          </w:p>
          <w:p w:rsidR="0010764D" w:rsidRPr="00333C0F" w:rsidRDefault="00A4173F">
            <w:pPr>
              <w:pStyle w:val="Bodytext0"/>
              <w:framePr w:w="8362" w:wrap="notBeside" w:vAnchor="text" w:hAnchor="text" w:y="1"/>
              <w:shd w:val="clear" w:color="auto" w:fill="auto"/>
              <w:spacing w:before="0" w:line="187" w:lineRule="exact"/>
              <w:ind w:left="880" w:hanging="740"/>
              <w:jc w:val="left"/>
              <w:rPr>
                <w:sz w:val="25"/>
                <w:szCs w:val="25"/>
              </w:rPr>
            </w:pPr>
            <w:r w:rsidRPr="00333C0F">
              <w:rPr>
                <w:rStyle w:val="BodytextCourierNew"/>
                <w:sz w:val="25"/>
                <w:szCs w:val="25"/>
              </w:rPr>
              <w:t>Iproperty or the making,</w:t>
            </w:r>
          </w:p>
          <w:p w:rsidR="0010764D" w:rsidRPr="00333C0F" w:rsidRDefault="00A4173F">
            <w:pPr>
              <w:pStyle w:val="Bodytext0"/>
              <w:framePr w:w="8362" w:wrap="notBeside" w:vAnchor="text" w:hAnchor="text" w:y="1"/>
              <w:shd w:val="clear" w:color="auto" w:fill="auto"/>
              <w:spacing w:before="0" w:line="187" w:lineRule="exact"/>
              <w:ind w:left="880"/>
              <w:jc w:val="left"/>
              <w:rPr>
                <w:sz w:val="25"/>
                <w:szCs w:val="25"/>
              </w:rPr>
            </w:pPr>
            <w:r w:rsidRPr="00333C0F">
              <w:rPr>
                <w:rStyle w:val="BodytextCourierNew"/>
                <w:sz w:val="25"/>
                <w:szCs w:val="25"/>
              </w:rPr>
              <w:t>I</w:t>
            </w:r>
          </w:p>
        </w:tc>
        <w:tc>
          <w:tcPr>
            <w:tcW w:w="2458" w:type="dxa"/>
            <w:shd w:val="clear" w:color="auto" w:fill="FFFFFF"/>
            <w:vAlign w:val="center"/>
          </w:tcPr>
          <w:p w:rsidR="0010764D" w:rsidRPr="00333C0F" w:rsidRDefault="00A4173F">
            <w:pPr>
              <w:pStyle w:val="Bodytext0"/>
              <w:framePr w:w="8362" w:wrap="notBeside" w:vAnchor="text" w:hAnchor="text" w:y="1"/>
              <w:shd w:val="clear" w:color="auto" w:fill="auto"/>
              <w:spacing w:before="0" w:line="180" w:lineRule="exact"/>
              <w:ind w:left="120"/>
              <w:jc w:val="left"/>
              <w:rPr>
                <w:sz w:val="25"/>
                <w:szCs w:val="25"/>
              </w:rPr>
            </w:pPr>
            <w:r w:rsidRPr="00333C0F">
              <w:rPr>
                <w:rStyle w:val="BodytextCourierNew"/>
                <w:sz w:val="25"/>
                <w:szCs w:val="25"/>
              </w:rPr>
              <w:t>|</w:t>
            </w:r>
          </w:p>
        </w:tc>
        <w:tc>
          <w:tcPr>
            <w:tcW w:w="706" w:type="dxa"/>
            <w:shd w:val="clear" w:color="auto" w:fill="FFFFFF"/>
            <w:vAlign w:val="center"/>
          </w:tcPr>
          <w:p w:rsidR="0010764D" w:rsidRPr="00333C0F" w:rsidRDefault="00A4173F">
            <w:pPr>
              <w:pStyle w:val="Bodytext0"/>
              <w:framePr w:w="8362" w:wrap="notBeside" w:vAnchor="text" w:hAnchor="text" w:y="1"/>
              <w:shd w:val="clear" w:color="auto" w:fill="auto"/>
              <w:spacing w:before="0" w:line="180" w:lineRule="exact"/>
              <w:ind w:left="180"/>
              <w:jc w:val="left"/>
              <w:rPr>
                <w:sz w:val="25"/>
                <w:szCs w:val="25"/>
              </w:rPr>
            </w:pPr>
            <w:r w:rsidRPr="00333C0F">
              <w:rPr>
                <w:rStyle w:val="BodytextCourierNew"/>
                <w:sz w:val="25"/>
                <w:szCs w:val="25"/>
              </w:rPr>
              <w:t>|</w:t>
            </w:r>
          </w:p>
        </w:tc>
        <w:tc>
          <w:tcPr>
            <w:tcW w:w="283" w:type="dxa"/>
            <w:shd w:val="clear" w:color="auto" w:fill="FFFFFF"/>
          </w:tcPr>
          <w:p w:rsidR="0010764D" w:rsidRPr="00333C0F" w:rsidRDefault="0010764D">
            <w:pPr>
              <w:framePr w:w="8362" w:wrap="notBeside" w:vAnchor="text" w:hAnchor="text" w:y="1"/>
              <w:rPr>
                <w:sz w:val="25"/>
                <w:szCs w:val="25"/>
              </w:rPr>
            </w:pPr>
          </w:p>
        </w:tc>
        <w:tc>
          <w:tcPr>
            <w:tcW w:w="1507" w:type="dxa"/>
            <w:tcBorders>
              <w:right w:val="single" w:sz="4" w:space="0" w:color="auto"/>
            </w:tcBorders>
            <w:shd w:val="clear" w:color="auto" w:fill="FFFFFF"/>
          </w:tcPr>
          <w:p w:rsidR="0010764D" w:rsidRPr="00333C0F" w:rsidRDefault="0010764D">
            <w:pPr>
              <w:framePr w:w="8362" w:wrap="notBeside" w:vAnchor="text" w:hAnchor="text" w:y="1"/>
              <w:rPr>
                <w:sz w:val="25"/>
                <w:szCs w:val="25"/>
              </w:rPr>
            </w:pPr>
          </w:p>
        </w:tc>
      </w:tr>
      <w:tr w:rsidR="0010764D" w:rsidRPr="00333C0F">
        <w:tblPrEx>
          <w:tblCellMar>
            <w:top w:w="0" w:type="dxa"/>
            <w:bottom w:w="0" w:type="dxa"/>
          </w:tblCellMar>
        </w:tblPrEx>
        <w:trPr>
          <w:trHeight w:hRule="exact" w:val="408"/>
        </w:trPr>
        <w:tc>
          <w:tcPr>
            <w:tcW w:w="3408" w:type="dxa"/>
            <w:tcBorders>
              <w:left w:val="single" w:sz="4" w:space="0" w:color="auto"/>
            </w:tcBorders>
            <w:shd w:val="clear" w:color="auto" w:fill="FFFFFF"/>
            <w:vAlign w:val="bottom"/>
          </w:tcPr>
          <w:p w:rsidR="0010764D" w:rsidRPr="00333C0F" w:rsidRDefault="00A4173F">
            <w:pPr>
              <w:pStyle w:val="Bodytext0"/>
              <w:framePr w:w="8362" w:wrap="notBeside" w:vAnchor="text" w:hAnchor="text" w:y="1"/>
              <w:shd w:val="clear" w:color="auto" w:fill="auto"/>
              <w:spacing w:before="0" w:line="178" w:lineRule="exact"/>
              <w:ind w:left="880"/>
              <w:jc w:val="left"/>
              <w:rPr>
                <w:sz w:val="25"/>
                <w:szCs w:val="25"/>
              </w:rPr>
            </w:pPr>
            <w:r w:rsidRPr="00333C0F">
              <w:rPr>
                <w:rStyle w:val="BodytextCourierNew"/>
                <w:sz w:val="25"/>
                <w:szCs w:val="25"/>
                <w:vertAlign w:val="superscript"/>
              </w:rPr>
              <w:t>|</w:t>
            </w:r>
          </w:p>
          <w:p w:rsidR="0010764D" w:rsidRPr="00333C0F" w:rsidRDefault="00A4173F">
            <w:pPr>
              <w:pStyle w:val="Bodytext0"/>
              <w:framePr w:w="8362" w:wrap="notBeside" w:vAnchor="text" w:hAnchor="text" w:y="1"/>
              <w:shd w:val="clear" w:color="auto" w:fill="auto"/>
              <w:spacing w:before="0" w:line="178" w:lineRule="exact"/>
              <w:ind w:left="880" w:hanging="740"/>
              <w:jc w:val="left"/>
              <w:rPr>
                <w:sz w:val="25"/>
                <w:szCs w:val="25"/>
              </w:rPr>
            </w:pPr>
            <w:r w:rsidRPr="00333C0F">
              <w:rPr>
                <w:rStyle w:val="BodytextCourierNew"/>
                <w:sz w:val="25"/>
                <w:szCs w:val="25"/>
              </w:rPr>
              <w:t>|alteration or destruction</w:t>
            </w:r>
          </w:p>
          <w:p w:rsidR="0010764D" w:rsidRPr="00333C0F" w:rsidRDefault="00A4173F">
            <w:pPr>
              <w:pStyle w:val="Bodytext0"/>
              <w:framePr w:w="8362" w:wrap="notBeside" w:vAnchor="text" w:hAnchor="text" w:y="1"/>
              <w:shd w:val="clear" w:color="auto" w:fill="auto"/>
              <w:spacing w:before="0" w:line="178" w:lineRule="exact"/>
              <w:ind w:left="880"/>
              <w:jc w:val="left"/>
              <w:rPr>
                <w:sz w:val="25"/>
                <w:szCs w:val="25"/>
              </w:rPr>
            </w:pPr>
            <w:r w:rsidRPr="00333C0F">
              <w:rPr>
                <w:rStyle w:val="BodytextCourierNew"/>
                <w:sz w:val="25"/>
                <w:szCs w:val="25"/>
              </w:rPr>
              <w:t>i</w:t>
            </w:r>
          </w:p>
        </w:tc>
        <w:tc>
          <w:tcPr>
            <w:tcW w:w="2458" w:type="dxa"/>
            <w:shd w:val="clear" w:color="auto" w:fill="FFFFFF"/>
            <w:vAlign w:val="center"/>
          </w:tcPr>
          <w:p w:rsidR="0010764D" w:rsidRPr="00333C0F" w:rsidRDefault="00A4173F">
            <w:pPr>
              <w:pStyle w:val="Bodytext0"/>
              <w:framePr w:w="8362" w:wrap="notBeside" w:vAnchor="text" w:hAnchor="text" w:y="1"/>
              <w:shd w:val="clear" w:color="auto" w:fill="auto"/>
              <w:spacing w:before="0" w:line="180" w:lineRule="exact"/>
              <w:ind w:left="120"/>
              <w:jc w:val="left"/>
              <w:rPr>
                <w:sz w:val="25"/>
                <w:szCs w:val="25"/>
              </w:rPr>
            </w:pPr>
            <w:r w:rsidRPr="00333C0F">
              <w:rPr>
                <w:rStyle w:val="BodytextCourierNew"/>
                <w:sz w:val="25"/>
                <w:szCs w:val="25"/>
              </w:rPr>
              <w:t>|</w:t>
            </w:r>
          </w:p>
        </w:tc>
        <w:tc>
          <w:tcPr>
            <w:tcW w:w="706" w:type="dxa"/>
            <w:shd w:val="clear" w:color="auto" w:fill="FFFFFF"/>
            <w:vAlign w:val="center"/>
          </w:tcPr>
          <w:p w:rsidR="0010764D" w:rsidRPr="00333C0F" w:rsidRDefault="00A4173F">
            <w:pPr>
              <w:pStyle w:val="Bodytext0"/>
              <w:framePr w:w="8362" w:wrap="notBeside" w:vAnchor="text" w:hAnchor="text" w:y="1"/>
              <w:shd w:val="clear" w:color="auto" w:fill="auto"/>
              <w:spacing w:before="0" w:line="180" w:lineRule="exact"/>
              <w:ind w:left="180"/>
              <w:jc w:val="left"/>
              <w:rPr>
                <w:sz w:val="25"/>
                <w:szCs w:val="25"/>
              </w:rPr>
            </w:pPr>
            <w:r w:rsidRPr="00333C0F">
              <w:rPr>
                <w:rStyle w:val="BodytextCourierNew"/>
                <w:sz w:val="25"/>
                <w:szCs w:val="25"/>
              </w:rPr>
              <w:t>|</w:t>
            </w:r>
          </w:p>
        </w:tc>
        <w:tc>
          <w:tcPr>
            <w:tcW w:w="283" w:type="dxa"/>
            <w:shd w:val="clear" w:color="auto" w:fill="FFFFFF"/>
          </w:tcPr>
          <w:p w:rsidR="0010764D" w:rsidRPr="00333C0F" w:rsidRDefault="0010764D">
            <w:pPr>
              <w:framePr w:w="8362" w:wrap="notBeside" w:vAnchor="text" w:hAnchor="text" w:y="1"/>
              <w:rPr>
                <w:sz w:val="25"/>
                <w:szCs w:val="25"/>
              </w:rPr>
            </w:pPr>
          </w:p>
        </w:tc>
        <w:tc>
          <w:tcPr>
            <w:tcW w:w="1507" w:type="dxa"/>
            <w:tcBorders>
              <w:right w:val="single" w:sz="4" w:space="0" w:color="auto"/>
            </w:tcBorders>
            <w:shd w:val="clear" w:color="auto" w:fill="FFFFFF"/>
          </w:tcPr>
          <w:p w:rsidR="0010764D" w:rsidRPr="00333C0F" w:rsidRDefault="0010764D">
            <w:pPr>
              <w:framePr w:w="8362" w:wrap="notBeside" w:vAnchor="text" w:hAnchor="text" w:y="1"/>
              <w:rPr>
                <w:sz w:val="25"/>
                <w:szCs w:val="25"/>
              </w:rPr>
            </w:pPr>
          </w:p>
        </w:tc>
      </w:tr>
      <w:tr w:rsidR="0010764D" w:rsidRPr="00333C0F">
        <w:tblPrEx>
          <w:tblCellMar>
            <w:top w:w="0" w:type="dxa"/>
            <w:bottom w:w="0" w:type="dxa"/>
          </w:tblCellMar>
        </w:tblPrEx>
        <w:trPr>
          <w:trHeight w:hRule="exact" w:val="840"/>
        </w:trPr>
        <w:tc>
          <w:tcPr>
            <w:tcW w:w="3408" w:type="dxa"/>
            <w:tcBorders>
              <w:left w:val="single" w:sz="4" w:space="0" w:color="auto"/>
              <w:bottom w:val="single" w:sz="4" w:space="0" w:color="auto"/>
            </w:tcBorders>
            <w:shd w:val="clear" w:color="auto" w:fill="FFFFFF"/>
          </w:tcPr>
          <w:p w:rsidR="0010764D" w:rsidRPr="00333C0F" w:rsidRDefault="00A4173F">
            <w:pPr>
              <w:pStyle w:val="Bodytext0"/>
              <w:framePr w:w="8362" w:wrap="notBeside" w:vAnchor="text" w:hAnchor="text" w:y="1"/>
              <w:shd w:val="clear" w:color="auto" w:fill="auto"/>
              <w:spacing w:before="0" w:line="180" w:lineRule="exact"/>
              <w:ind w:left="880"/>
              <w:jc w:val="left"/>
              <w:rPr>
                <w:sz w:val="25"/>
                <w:szCs w:val="25"/>
              </w:rPr>
            </w:pPr>
            <w:r w:rsidRPr="00333C0F">
              <w:rPr>
                <w:rStyle w:val="BodytextCourierNew"/>
                <w:sz w:val="25"/>
                <w:szCs w:val="25"/>
              </w:rPr>
              <w:t>|</w:t>
            </w:r>
          </w:p>
          <w:p w:rsidR="0010764D" w:rsidRPr="00333C0F" w:rsidRDefault="00A4173F">
            <w:pPr>
              <w:pStyle w:val="Bodytext0"/>
              <w:framePr w:w="8362" w:wrap="notBeside" w:vAnchor="text" w:hAnchor="text" w:y="1"/>
              <w:shd w:val="clear" w:color="auto" w:fill="auto"/>
              <w:spacing w:before="0" w:line="235" w:lineRule="exact"/>
              <w:ind w:left="880" w:hanging="740"/>
              <w:jc w:val="left"/>
              <w:rPr>
                <w:sz w:val="25"/>
                <w:szCs w:val="25"/>
              </w:rPr>
            </w:pPr>
            <w:r w:rsidRPr="00333C0F">
              <w:rPr>
                <w:rStyle w:val="BodytextCourierNew"/>
                <w:sz w:val="25"/>
                <w:szCs w:val="25"/>
              </w:rPr>
              <w:t>|of a valuable security |</w:t>
            </w:r>
          </w:p>
        </w:tc>
        <w:tc>
          <w:tcPr>
            <w:tcW w:w="2458" w:type="dxa"/>
            <w:tcBorders>
              <w:bottom w:val="single" w:sz="4" w:space="0" w:color="auto"/>
            </w:tcBorders>
            <w:shd w:val="clear" w:color="auto" w:fill="FFFFFF"/>
          </w:tcPr>
          <w:p w:rsidR="0010764D" w:rsidRPr="00333C0F" w:rsidRDefault="00A4173F">
            <w:pPr>
              <w:pStyle w:val="Bodytext0"/>
              <w:framePr w:w="8362" w:wrap="notBeside" w:vAnchor="text" w:hAnchor="text" w:y="1"/>
              <w:shd w:val="clear" w:color="auto" w:fill="auto"/>
              <w:spacing w:before="0" w:line="180" w:lineRule="exact"/>
              <w:ind w:left="120"/>
              <w:jc w:val="left"/>
              <w:rPr>
                <w:sz w:val="25"/>
                <w:szCs w:val="25"/>
              </w:rPr>
            </w:pPr>
            <w:r w:rsidRPr="00333C0F">
              <w:rPr>
                <w:rStyle w:val="BodytextCourierNew"/>
                <w:sz w:val="25"/>
                <w:szCs w:val="25"/>
              </w:rPr>
              <w:t>|</w:t>
            </w:r>
          </w:p>
        </w:tc>
        <w:tc>
          <w:tcPr>
            <w:tcW w:w="706" w:type="dxa"/>
            <w:tcBorders>
              <w:bottom w:val="single" w:sz="4" w:space="0" w:color="auto"/>
            </w:tcBorders>
            <w:shd w:val="clear" w:color="auto" w:fill="FFFFFF"/>
          </w:tcPr>
          <w:p w:rsidR="0010764D" w:rsidRPr="00333C0F" w:rsidRDefault="00A4173F">
            <w:pPr>
              <w:pStyle w:val="Bodytext0"/>
              <w:framePr w:w="8362" w:wrap="notBeside" w:vAnchor="text" w:hAnchor="text" w:y="1"/>
              <w:shd w:val="clear" w:color="auto" w:fill="auto"/>
              <w:spacing w:before="0" w:line="180" w:lineRule="exact"/>
              <w:ind w:left="180"/>
              <w:jc w:val="left"/>
              <w:rPr>
                <w:sz w:val="25"/>
                <w:szCs w:val="25"/>
              </w:rPr>
            </w:pPr>
            <w:r w:rsidRPr="00333C0F">
              <w:rPr>
                <w:rStyle w:val="BodytextCourierNew"/>
                <w:sz w:val="25"/>
                <w:szCs w:val="25"/>
              </w:rPr>
              <w:t>|</w:t>
            </w:r>
          </w:p>
        </w:tc>
        <w:tc>
          <w:tcPr>
            <w:tcW w:w="283" w:type="dxa"/>
            <w:tcBorders>
              <w:bottom w:val="single" w:sz="4" w:space="0" w:color="auto"/>
            </w:tcBorders>
            <w:shd w:val="clear" w:color="auto" w:fill="FFFFFF"/>
          </w:tcPr>
          <w:p w:rsidR="0010764D" w:rsidRPr="00333C0F" w:rsidRDefault="0010764D">
            <w:pPr>
              <w:framePr w:w="8362" w:wrap="notBeside" w:vAnchor="text" w:hAnchor="text" w:y="1"/>
              <w:rPr>
                <w:sz w:val="25"/>
                <w:szCs w:val="25"/>
              </w:rPr>
            </w:pPr>
          </w:p>
        </w:tc>
        <w:tc>
          <w:tcPr>
            <w:tcW w:w="1507" w:type="dxa"/>
            <w:tcBorders>
              <w:bottom w:val="single" w:sz="4" w:space="0" w:color="auto"/>
              <w:right w:val="single" w:sz="4" w:space="0" w:color="auto"/>
            </w:tcBorders>
            <w:shd w:val="clear" w:color="auto" w:fill="FFFFFF"/>
          </w:tcPr>
          <w:p w:rsidR="0010764D" w:rsidRPr="00333C0F" w:rsidRDefault="0010764D">
            <w:pPr>
              <w:framePr w:w="8362" w:wrap="notBeside" w:vAnchor="text" w:hAnchor="text" w:y="1"/>
              <w:rPr>
                <w:sz w:val="25"/>
                <w:szCs w:val="25"/>
              </w:rPr>
            </w:pPr>
          </w:p>
        </w:tc>
      </w:tr>
    </w:tbl>
    <w:p w:rsidR="0010764D" w:rsidRPr="00333C0F" w:rsidRDefault="0010764D">
      <w:pPr>
        <w:rPr>
          <w:sz w:val="25"/>
          <w:szCs w:val="25"/>
        </w:rPr>
      </w:pPr>
    </w:p>
    <w:p w:rsidR="0010764D" w:rsidRPr="00333C0F" w:rsidRDefault="00A4173F">
      <w:pPr>
        <w:pStyle w:val="Bodytext0"/>
        <w:shd w:val="clear" w:color="auto" w:fill="auto"/>
        <w:spacing w:before="188" w:after="240" w:line="293" w:lineRule="exact"/>
        <w:ind w:left="20" w:right="60"/>
        <w:jc w:val="both"/>
        <w:rPr>
          <w:sz w:val="25"/>
          <w:szCs w:val="25"/>
        </w:rPr>
      </w:pPr>
      <w:r w:rsidRPr="00333C0F">
        <w:rPr>
          <w:sz w:val="25"/>
          <w:szCs w:val="25"/>
        </w:rPr>
        <w:t xml:space="preserve">Column 1 of the table provides for the categories of the offences which can be compounded, column 2 provides for the Section of the IPC which is </w:t>
      </w:r>
      <w:r w:rsidRPr="00333C0F">
        <w:rPr>
          <w:sz w:val="25"/>
          <w:szCs w:val="25"/>
        </w:rPr>
        <w:t>applicable and column 3 provides for the person at whose instance the offence may be compounded. The relevant clause under Section 420 of the IPC, the table clearly indicates that the said offence can only becompounded by a person "who has been cheated".</w:t>
      </w:r>
    </w:p>
    <w:p w:rsidR="0010764D" w:rsidRPr="00333C0F" w:rsidRDefault="00A4173F">
      <w:pPr>
        <w:pStyle w:val="Bodytext0"/>
        <w:numPr>
          <w:ilvl w:val="0"/>
          <w:numId w:val="2"/>
        </w:numPr>
        <w:shd w:val="clear" w:color="auto" w:fill="auto"/>
        <w:spacing w:before="0" w:after="240" w:line="293" w:lineRule="exact"/>
        <w:ind w:left="40" w:right="60"/>
        <w:jc w:val="both"/>
        <w:rPr>
          <w:sz w:val="25"/>
          <w:szCs w:val="25"/>
        </w:rPr>
      </w:pPr>
      <w:r w:rsidRPr="00333C0F">
        <w:rPr>
          <w:sz w:val="25"/>
          <w:szCs w:val="25"/>
        </w:rPr>
        <w:t xml:space="preserve"> </w:t>
      </w:r>
      <w:r w:rsidRPr="00333C0F">
        <w:rPr>
          <w:sz w:val="25"/>
          <w:szCs w:val="25"/>
        </w:rPr>
        <w:t>In the instant case, the CBI has initiated the proceedings suo moto. It is clearly mentioned in the Final Report and the charge sheet filed by them, that the Respondent No.1 with the assistance of known officials of AICTE had produced forged and fraudulent</w:t>
      </w:r>
      <w:r w:rsidRPr="00333C0F">
        <w:rPr>
          <w:sz w:val="25"/>
          <w:szCs w:val="25"/>
        </w:rPr>
        <w:t xml:space="preserve"> documents to obtain recognition of the aforementioned institution from AICTE, and, thereby cheated the AICTE.</w:t>
      </w:r>
    </w:p>
    <w:p w:rsidR="0010764D" w:rsidRPr="00333C0F" w:rsidRDefault="00A4173F">
      <w:pPr>
        <w:pStyle w:val="Bodytext0"/>
        <w:numPr>
          <w:ilvl w:val="0"/>
          <w:numId w:val="2"/>
        </w:numPr>
        <w:shd w:val="clear" w:color="auto" w:fill="auto"/>
        <w:spacing w:before="0" w:after="240" w:line="293" w:lineRule="exact"/>
        <w:ind w:left="40" w:right="60"/>
        <w:jc w:val="left"/>
        <w:rPr>
          <w:sz w:val="25"/>
          <w:szCs w:val="25"/>
        </w:rPr>
      </w:pPr>
      <w:r w:rsidRPr="00333C0F">
        <w:rPr>
          <w:sz w:val="25"/>
          <w:szCs w:val="25"/>
        </w:rPr>
        <w:t xml:space="preserve"> In this case, it unfolds that it is not the CBI who has been cheated by the actions of the Respondent No.1, but in fact the AICTE.The CBI because is only an investigating agency carrying out inquiry in the matter. Therefore, the application of the Respond</w:t>
      </w:r>
      <w:r w:rsidRPr="00333C0F">
        <w:rPr>
          <w:sz w:val="25"/>
          <w:szCs w:val="25"/>
        </w:rPr>
        <w:t>ent no. 1 could not have been considered by the learned Magistrate without affording an opportunity of hearing to the AICTE, as doing such would deprive the person so cheated, under Section 420 of the IPC, of his statutory right. In that view of the matter</w:t>
      </w:r>
      <w:r w:rsidRPr="00333C0F">
        <w:rPr>
          <w:sz w:val="25"/>
          <w:szCs w:val="25"/>
        </w:rPr>
        <w:t>, the High Court was not justified in directing the learned Magistrate to re-consider the application filed by Respondent No. 1 under Section 320 of the Cr.P.C. without recording the stand of AICTE.</w:t>
      </w:r>
    </w:p>
    <w:p w:rsidR="0010764D" w:rsidRPr="00333C0F" w:rsidRDefault="00A4173F">
      <w:pPr>
        <w:pStyle w:val="Bodytext0"/>
        <w:numPr>
          <w:ilvl w:val="0"/>
          <w:numId w:val="2"/>
        </w:numPr>
        <w:shd w:val="clear" w:color="auto" w:fill="auto"/>
        <w:spacing w:before="0" w:after="290" w:line="293" w:lineRule="exact"/>
        <w:ind w:left="40" w:right="60"/>
        <w:jc w:val="both"/>
        <w:rPr>
          <w:sz w:val="25"/>
          <w:szCs w:val="25"/>
        </w:rPr>
      </w:pPr>
      <w:r w:rsidRPr="00333C0F">
        <w:rPr>
          <w:sz w:val="25"/>
          <w:szCs w:val="25"/>
        </w:rPr>
        <w:t xml:space="preserve"> In the aforesaid view of the matter, we allow this appea</w:t>
      </w:r>
      <w:r w:rsidRPr="00333C0F">
        <w:rPr>
          <w:sz w:val="25"/>
          <w:szCs w:val="25"/>
        </w:rPr>
        <w:t>l and set aside the impugned judgment and order passed by the High Court. We now direct the learned Special Judicial Magistrate, CBI, Lucknow to re-consider the application filed by the Respondent No. 1, under Section 320 of the Cr.P.C, after considering t</w:t>
      </w:r>
      <w:r w:rsidRPr="00333C0F">
        <w:rPr>
          <w:sz w:val="25"/>
          <w:szCs w:val="25"/>
        </w:rPr>
        <w:t>he objections filed by the AICTE and affording an opportunity of hearing to the AICTE. This exercise shall be completed by the learned Magistrate as expeditiously as possible, at any rate, within an outer limit of six months from the date of receipt of a c</w:t>
      </w:r>
      <w:r w:rsidRPr="00333C0F">
        <w:rPr>
          <w:sz w:val="25"/>
          <w:szCs w:val="25"/>
        </w:rPr>
        <w:t>opy of this Court's order.</w:t>
      </w:r>
    </w:p>
    <w:p w:rsidR="0010764D" w:rsidRPr="00333C0F" w:rsidRDefault="00A4173F">
      <w:pPr>
        <w:pStyle w:val="Bodytext0"/>
        <w:shd w:val="clear" w:color="auto" w:fill="auto"/>
        <w:spacing w:before="0" w:line="230" w:lineRule="exact"/>
        <w:ind w:left="540"/>
        <w:jc w:val="left"/>
        <w:rPr>
          <w:sz w:val="25"/>
          <w:szCs w:val="25"/>
        </w:rPr>
      </w:pPr>
      <w:r w:rsidRPr="00333C0F">
        <w:rPr>
          <w:sz w:val="25"/>
          <w:szCs w:val="25"/>
        </w:rPr>
        <w:t>Ordered accordingly.</w:t>
      </w:r>
    </w:p>
    <w:sectPr w:rsidR="0010764D" w:rsidRPr="00333C0F" w:rsidSect="0010764D">
      <w:footerReference w:type="default" r:id="rId7"/>
      <w:type w:val="continuous"/>
      <w:pgSz w:w="12240" w:h="15840"/>
      <w:pgMar w:top="1242" w:right="1293" w:bottom="1693" w:left="1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73F" w:rsidRDefault="00A4173F" w:rsidP="0010764D">
      <w:r>
        <w:separator/>
      </w:r>
    </w:p>
  </w:endnote>
  <w:endnote w:type="continuationSeparator" w:id="1">
    <w:p w:rsidR="00A4173F" w:rsidRDefault="00A4173F" w:rsidP="00107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64D" w:rsidRDefault="0010764D">
    <w:pPr>
      <w:rPr>
        <w:sz w:val="2"/>
        <w:szCs w:val="2"/>
      </w:rPr>
    </w:pPr>
    <w:r w:rsidRPr="0010764D">
      <w:pict>
        <v:shapetype id="_x0000_t202" coordsize="21600,21600" o:spt="202" path="m,l,21600r21600,l21600,xe">
          <v:stroke joinstyle="miter"/>
          <v:path gradientshapeok="t" o:connecttype="rect"/>
        </v:shapetype>
        <v:shape id="_x0000_s1025" type="#_x0000_t202" style="position:absolute;margin-left:298.55pt;margin-top:10in;width:210.95pt;height:10.1pt;z-index:-251658752;mso-wrap-distance-left:5pt;mso-wrap-distance-right:5pt;mso-position-horizontal-relative:page;mso-position-vertical-relative:page" wrapcoords="0 0" filled="f" stroked="f">
          <v:textbox style="mso-fit-shape-to-text:t" inset="0,0,0,0">
            <w:txbxContent>
              <w:p w:rsidR="0010764D" w:rsidRDefault="0010764D">
                <w:pPr>
                  <w:pStyle w:val="Headerorfooter0"/>
                  <w:shd w:val="clear" w:color="auto" w:fill="auto"/>
                  <w:tabs>
                    <w:tab w:val="right" w:pos="4219"/>
                  </w:tabs>
                  <w:spacing w:line="240" w:lineRule="auto"/>
                </w:pPr>
                <w:fldSimple w:instr=" PAGE \* MERGEFORMAT ">
                  <w:r w:rsidR="00A4173F" w:rsidRPr="00A4173F">
                    <w:rPr>
                      <w:rStyle w:val="Headerorfooter1"/>
                      <w:b/>
                      <w:bCs/>
                      <w:noProof/>
                    </w:rPr>
                    <w:t>1</w:t>
                  </w:r>
                </w:fldSimple>
                <w:r w:rsidR="00A4173F">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73F" w:rsidRDefault="00A4173F"/>
  </w:footnote>
  <w:footnote w:type="continuationSeparator" w:id="1">
    <w:p w:rsidR="00A4173F" w:rsidRDefault="00A417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F722A"/>
    <w:multiLevelType w:val="multilevel"/>
    <w:tmpl w:val="DEA28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891E52"/>
    <w:multiLevelType w:val="multilevel"/>
    <w:tmpl w:val="BB68189A"/>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0764D"/>
    <w:rsid w:val="0010764D"/>
    <w:rsid w:val="00333C0F"/>
    <w:rsid w:val="007C2AE8"/>
    <w:rsid w:val="00A41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76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764D"/>
    <w:rPr>
      <w:color w:val="0066CC"/>
      <w:u w:val="single"/>
    </w:rPr>
  </w:style>
  <w:style w:type="character" w:customStyle="1" w:styleId="Bodytext2">
    <w:name w:val="Body text (2)_"/>
    <w:basedOn w:val="DefaultParagraphFont"/>
    <w:link w:val="Bodytext20"/>
    <w:rsid w:val="0010764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10764D"/>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10764D"/>
    <w:rPr>
      <w:color w:val="000000"/>
      <w:spacing w:val="0"/>
      <w:w w:val="100"/>
      <w:position w:val="0"/>
      <w:lang w:val="en-US" w:eastAsia="en-US" w:bidi="en-US"/>
    </w:rPr>
  </w:style>
  <w:style w:type="character" w:customStyle="1" w:styleId="Bodytext">
    <w:name w:val="Body text_"/>
    <w:basedOn w:val="DefaultParagraphFont"/>
    <w:link w:val="Bodytext0"/>
    <w:rsid w:val="0010764D"/>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10764D"/>
    <w:rPr>
      <w:b/>
      <w:bCs/>
      <w:color w:val="000000"/>
      <w:spacing w:val="0"/>
      <w:w w:val="100"/>
      <w:position w:val="0"/>
      <w:sz w:val="24"/>
      <w:szCs w:val="24"/>
      <w:lang w:val="en-US" w:eastAsia="en-US" w:bidi="en-US"/>
    </w:rPr>
  </w:style>
  <w:style w:type="character" w:customStyle="1" w:styleId="Tablecaption">
    <w:name w:val="Table caption_"/>
    <w:basedOn w:val="DefaultParagraphFont"/>
    <w:link w:val="Tablecaption0"/>
    <w:rsid w:val="0010764D"/>
    <w:rPr>
      <w:rFonts w:ascii="Times New Roman" w:eastAsia="Times New Roman" w:hAnsi="Times New Roman" w:cs="Times New Roman"/>
      <w:b w:val="0"/>
      <w:bCs w:val="0"/>
      <w:i w:val="0"/>
      <w:iCs w:val="0"/>
      <w:smallCaps w:val="0"/>
      <w:strike w:val="0"/>
      <w:sz w:val="23"/>
      <w:szCs w:val="23"/>
      <w:u w:val="none"/>
    </w:rPr>
  </w:style>
  <w:style w:type="character" w:customStyle="1" w:styleId="BodytextCourierNew">
    <w:name w:val="Body text + Courier New"/>
    <w:aliases w:val="9 pt"/>
    <w:basedOn w:val="Bodytext"/>
    <w:rsid w:val="0010764D"/>
    <w:rPr>
      <w:rFonts w:ascii="Courier New" w:eastAsia="Courier New" w:hAnsi="Courier New" w:cs="Courier New"/>
      <w:color w:val="000000"/>
      <w:spacing w:val="0"/>
      <w:w w:val="100"/>
      <w:position w:val="0"/>
      <w:sz w:val="18"/>
      <w:szCs w:val="18"/>
      <w:lang w:val="en-US" w:eastAsia="en-US" w:bidi="en-US"/>
    </w:rPr>
  </w:style>
  <w:style w:type="paragraph" w:customStyle="1" w:styleId="Bodytext20">
    <w:name w:val="Body text (2)"/>
    <w:basedOn w:val="Normal"/>
    <w:link w:val="Bodytext2"/>
    <w:rsid w:val="0010764D"/>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10764D"/>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10764D"/>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Tablecaption0">
    <w:name w:val="Table caption"/>
    <w:basedOn w:val="Normal"/>
    <w:link w:val="Tablecaption"/>
    <w:rsid w:val="0010764D"/>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2017-06-01T07:45:00Z</dcterms:created>
  <dcterms:modified xsi:type="dcterms:W3CDTF">2017-06-01T07:45:00Z</dcterms:modified>
</cp:coreProperties>
</file>