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D12" w:rsidRPr="006959D2" w:rsidRDefault="0072229C">
      <w:pPr>
        <w:pStyle w:val="Bodytext20"/>
        <w:shd w:val="clear" w:color="auto" w:fill="auto"/>
        <w:spacing w:after="22" w:line="240" w:lineRule="exact"/>
        <w:ind w:left="20"/>
        <w:rPr>
          <w:rFonts w:ascii="Times New Roman" w:hAnsi="Times New Roman" w:cs="Times New Roman"/>
          <w:sz w:val="25"/>
          <w:szCs w:val="25"/>
        </w:rPr>
      </w:pPr>
      <w:r w:rsidRPr="006959D2">
        <w:rPr>
          <w:rFonts w:ascii="Times New Roman" w:hAnsi="Times New Roman" w:cs="Times New Roman"/>
          <w:sz w:val="25"/>
          <w:szCs w:val="25"/>
        </w:rPr>
        <w:t>SUPREME COURT OF INDIA</w:t>
      </w:r>
    </w:p>
    <w:p w:rsidR="006959D2" w:rsidRDefault="0072229C">
      <w:pPr>
        <w:pStyle w:val="Bodytext0"/>
        <w:shd w:val="clear" w:color="auto" w:fill="auto"/>
        <w:spacing w:before="0"/>
        <w:ind w:left="20"/>
        <w:rPr>
          <w:rFonts w:ascii="Times New Roman" w:hAnsi="Times New Roman" w:cs="Times New Roman"/>
          <w:sz w:val="25"/>
          <w:szCs w:val="25"/>
        </w:rPr>
      </w:pPr>
      <w:r w:rsidRPr="006959D2">
        <w:rPr>
          <w:rFonts w:ascii="Times New Roman" w:hAnsi="Times New Roman" w:cs="Times New Roman"/>
          <w:sz w:val="25"/>
          <w:szCs w:val="25"/>
        </w:rPr>
        <w:t xml:space="preserve">Vijoy Kumar Pandey </w:t>
      </w:r>
    </w:p>
    <w:p w:rsidR="00820D12" w:rsidRPr="006959D2" w:rsidRDefault="0072229C">
      <w:pPr>
        <w:pStyle w:val="Bodytext0"/>
        <w:shd w:val="clear" w:color="auto" w:fill="auto"/>
        <w:spacing w:before="0"/>
        <w:ind w:left="20"/>
        <w:rPr>
          <w:rFonts w:ascii="Times New Roman" w:hAnsi="Times New Roman" w:cs="Times New Roman"/>
          <w:sz w:val="25"/>
          <w:szCs w:val="25"/>
        </w:rPr>
      </w:pPr>
      <w:r w:rsidRPr="006959D2">
        <w:rPr>
          <w:rFonts w:ascii="Times New Roman" w:hAnsi="Times New Roman" w:cs="Times New Roman"/>
          <w:sz w:val="25"/>
          <w:szCs w:val="25"/>
        </w:rPr>
        <w:t>Vs.</w:t>
      </w:r>
    </w:p>
    <w:p w:rsidR="00820D12" w:rsidRPr="006959D2" w:rsidRDefault="0072229C">
      <w:pPr>
        <w:pStyle w:val="Bodytext0"/>
        <w:shd w:val="clear" w:color="auto" w:fill="auto"/>
        <w:spacing w:before="0"/>
        <w:ind w:left="20"/>
        <w:rPr>
          <w:rFonts w:ascii="Times New Roman" w:hAnsi="Times New Roman" w:cs="Times New Roman"/>
          <w:sz w:val="25"/>
          <w:szCs w:val="25"/>
        </w:rPr>
      </w:pPr>
      <w:r w:rsidRPr="006959D2">
        <w:rPr>
          <w:rFonts w:ascii="Times New Roman" w:hAnsi="Times New Roman" w:cs="Times New Roman"/>
          <w:sz w:val="25"/>
          <w:szCs w:val="25"/>
        </w:rPr>
        <w:t>Arvind Kumar Rai &amp; Ors.</w:t>
      </w:r>
    </w:p>
    <w:p w:rsidR="006959D2" w:rsidRDefault="0072229C">
      <w:pPr>
        <w:pStyle w:val="Bodytext0"/>
        <w:shd w:val="clear" w:color="auto" w:fill="auto"/>
        <w:spacing w:before="0"/>
        <w:ind w:left="20"/>
        <w:rPr>
          <w:rFonts w:ascii="Times New Roman" w:hAnsi="Times New Roman" w:cs="Times New Roman"/>
          <w:sz w:val="25"/>
          <w:szCs w:val="25"/>
        </w:rPr>
      </w:pPr>
      <w:r w:rsidRPr="006959D2">
        <w:rPr>
          <w:rFonts w:ascii="Times New Roman" w:hAnsi="Times New Roman" w:cs="Times New Roman"/>
          <w:sz w:val="25"/>
          <w:szCs w:val="25"/>
        </w:rPr>
        <w:t xml:space="preserve">C.A.No.1310 of 2013 </w:t>
      </w:r>
    </w:p>
    <w:p w:rsidR="00820D12" w:rsidRPr="006959D2" w:rsidRDefault="0072229C">
      <w:pPr>
        <w:pStyle w:val="Bodytext0"/>
        <w:shd w:val="clear" w:color="auto" w:fill="auto"/>
        <w:spacing w:before="0"/>
        <w:ind w:left="20"/>
        <w:rPr>
          <w:rFonts w:ascii="Times New Roman" w:hAnsi="Times New Roman" w:cs="Times New Roman"/>
          <w:sz w:val="25"/>
          <w:szCs w:val="25"/>
        </w:rPr>
      </w:pPr>
      <w:r w:rsidRPr="006959D2">
        <w:rPr>
          <w:rFonts w:ascii="Times New Roman" w:hAnsi="Times New Roman" w:cs="Times New Roman"/>
          <w:sz w:val="25"/>
          <w:szCs w:val="25"/>
        </w:rPr>
        <w:t>(T.S. Thakur and M.Y. Eqbal,JJ.)</w:t>
      </w:r>
    </w:p>
    <w:p w:rsidR="00820D12" w:rsidRPr="006959D2" w:rsidRDefault="0072229C">
      <w:pPr>
        <w:pStyle w:val="Bodytext0"/>
        <w:shd w:val="clear" w:color="auto" w:fill="auto"/>
        <w:spacing w:before="0"/>
        <w:ind w:left="20"/>
        <w:rPr>
          <w:rFonts w:ascii="Times New Roman" w:hAnsi="Times New Roman" w:cs="Times New Roman"/>
          <w:sz w:val="25"/>
          <w:szCs w:val="25"/>
        </w:rPr>
      </w:pPr>
      <w:r w:rsidRPr="006959D2">
        <w:rPr>
          <w:rFonts w:ascii="Times New Roman" w:hAnsi="Times New Roman" w:cs="Times New Roman"/>
          <w:sz w:val="25"/>
          <w:szCs w:val="25"/>
        </w:rPr>
        <w:t>13.02.2013</w:t>
      </w:r>
    </w:p>
    <w:p w:rsidR="00820D12" w:rsidRPr="006959D2" w:rsidRDefault="0072229C">
      <w:pPr>
        <w:pStyle w:val="Bodytext20"/>
        <w:shd w:val="clear" w:color="auto" w:fill="auto"/>
        <w:spacing w:after="0" w:line="586" w:lineRule="exact"/>
        <w:ind w:left="20"/>
        <w:rPr>
          <w:rFonts w:ascii="Times New Roman" w:hAnsi="Times New Roman" w:cs="Times New Roman"/>
          <w:sz w:val="25"/>
          <w:szCs w:val="25"/>
        </w:rPr>
      </w:pPr>
      <w:r w:rsidRPr="006959D2">
        <w:rPr>
          <w:rFonts w:ascii="Times New Roman" w:hAnsi="Times New Roman" w:cs="Times New Roman"/>
          <w:sz w:val="25"/>
          <w:szCs w:val="25"/>
        </w:rPr>
        <w:t>JUDGMENT</w:t>
      </w:r>
    </w:p>
    <w:p w:rsidR="00820D12" w:rsidRPr="006959D2" w:rsidRDefault="0072229C">
      <w:pPr>
        <w:pStyle w:val="Bodytext20"/>
        <w:shd w:val="clear" w:color="auto" w:fill="auto"/>
        <w:spacing w:after="0" w:line="586" w:lineRule="exact"/>
        <w:ind w:left="20"/>
        <w:jc w:val="both"/>
        <w:rPr>
          <w:rFonts w:ascii="Times New Roman" w:hAnsi="Times New Roman" w:cs="Times New Roman"/>
          <w:sz w:val="25"/>
          <w:szCs w:val="25"/>
        </w:rPr>
      </w:pPr>
      <w:r w:rsidRPr="006959D2">
        <w:rPr>
          <w:rFonts w:ascii="Times New Roman" w:hAnsi="Times New Roman" w:cs="Times New Roman"/>
          <w:sz w:val="25"/>
          <w:szCs w:val="25"/>
        </w:rPr>
        <w:t>T.S. Thakur, J.</w:t>
      </w:r>
    </w:p>
    <w:p w:rsidR="00820D12" w:rsidRPr="006959D2" w:rsidRDefault="0072229C">
      <w:pPr>
        <w:pStyle w:val="Bodytext0"/>
        <w:numPr>
          <w:ilvl w:val="0"/>
          <w:numId w:val="1"/>
        </w:numPr>
        <w:shd w:val="clear" w:color="auto" w:fill="auto"/>
        <w:spacing w:before="0"/>
        <w:ind w:left="20"/>
        <w:jc w:val="both"/>
        <w:rPr>
          <w:rFonts w:ascii="Times New Roman" w:hAnsi="Times New Roman" w:cs="Times New Roman"/>
          <w:sz w:val="25"/>
          <w:szCs w:val="25"/>
        </w:rPr>
      </w:pPr>
      <w:r w:rsidRPr="006959D2">
        <w:rPr>
          <w:rFonts w:ascii="Times New Roman" w:hAnsi="Times New Roman" w:cs="Times New Roman"/>
          <w:sz w:val="25"/>
          <w:szCs w:val="25"/>
        </w:rPr>
        <w:t xml:space="preserve"> Leave granted.</w:t>
      </w:r>
    </w:p>
    <w:p w:rsidR="00820D12" w:rsidRPr="006959D2" w:rsidRDefault="0072229C">
      <w:pPr>
        <w:pStyle w:val="Bodytext0"/>
        <w:numPr>
          <w:ilvl w:val="0"/>
          <w:numId w:val="1"/>
        </w:numPr>
        <w:shd w:val="clear" w:color="auto" w:fill="auto"/>
        <w:spacing w:before="0" w:after="240" w:line="293" w:lineRule="exact"/>
        <w:ind w:left="20" w:right="20"/>
        <w:jc w:val="both"/>
        <w:rPr>
          <w:rFonts w:ascii="Times New Roman" w:hAnsi="Times New Roman" w:cs="Times New Roman"/>
          <w:sz w:val="25"/>
          <w:szCs w:val="25"/>
        </w:rPr>
      </w:pPr>
      <w:r w:rsidRPr="006959D2">
        <w:rPr>
          <w:rFonts w:ascii="Times New Roman" w:hAnsi="Times New Roman" w:cs="Times New Roman"/>
          <w:sz w:val="25"/>
          <w:szCs w:val="25"/>
        </w:rPr>
        <w:t xml:space="preserve"> This appeal by special leave is directed against the judgement and order dated 29th January, 2010 passed by the Division Bench of the High Court of Judicature at Calcutta whereby in FMA No.1415/2009 filed by the respondent No.1 has been allowed, the order</w:t>
      </w:r>
      <w:r w:rsidRPr="006959D2">
        <w:rPr>
          <w:rFonts w:ascii="Times New Roman" w:hAnsi="Times New Roman" w:cs="Times New Roman"/>
          <w:sz w:val="25"/>
          <w:szCs w:val="25"/>
        </w:rPr>
        <w:t xml:space="preserve"> passed by the Single Judge of that Court set aside and the respondent-School Service Commission directed to act in terms of an earlier order dated 12th March 2009 passed by that Court in Writ Petition No. 6117(W) of 2004. The controversy arises in the fol</w:t>
      </w:r>
      <w:r w:rsidRPr="006959D2">
        <w:rPr>
          <w:rFonts w:ascii="Times New Roman" w:hAnsi="Times New Roman" w:cs="Times New Roman"/>
          <w:sz w:val="25"/>
          <w:szCs w:val="25"/>
        </w:rPr>
        <w:t>lowing backdrop.</w:t>
      </w:r>
    </w:p>
    <w:p w:rsidR="00820D12" w:rsidRPr="006959D2" w:rsidRDefault="0072229C">
      <w:pPr>
        <w:pStyle w:val="Bodytext0"/>
        <w:numPr>
          <w:ilvl w:val="0"/>
          <w:numId w:val="1"/>
        </w:numPr>
        <w:shd w:val="clear" w:color="auto" w:fill="auto"/>
        <w:spacing w:before="0" w:after="240" w:line="293" w:lineRule="exact"/>
        <w:ind w:left="20" w:right="20"/>
        <w:jc w:val="both"/>
        <w:rPr>
          <w:rFonts w:ascii="Times New Roman" w:hAnsi="Times New Roman" w:cs="Times New Roman"/>
          <w:sz w:val="25"/>
          <w:szCs w:val="25"/>
        </w:rPr>
      </w:pPr>
      <w:r w:rsidRPr="006959D2">
        <w:rPr>
          <w:rFonts w:ascii="Times New Roman" w:hAnsi="Times New Roman" w:cs="Times New Roman"/>
          <w:sz w:val="25"/>
          <w:szCs w:val="25"/>
        </w:rPr>
        <w:t xml:space="preserve"> Against the vacant post of Headmaster at Howrah Siksha Niketan, as many as five candidates applied for appointment to the School Service Commission, West Bengal. The Commission found two of those applying for the post to be ineligible but</w:t>
      </w:r>
      <w:r w:rsidRPr="006959D2">
        <w:rPr>
          <w:rFonts w:ascii="Times New Roman" w:hAnsi="Times New Roman" w:cs="Times New Roman"/>
          <w:sz w:val="25"/>
          <w:szCs w:val="25"/>
        </w:rPr>
        <w:t xml:space="preserve"> short listed the remaining three for consideration. Kavindra Narayan Roy, one of the candidates found ineligible questioned the rejection of his candidature in Writ Petition No.6117 (W) of 2004 filed before the High Court of Calcutta and obtained an inter</w:t>
      </w:r>
      <w:r w:rsidRPr="006959D2">
        <w:rPr>
          <w:rFonts w:ascii="Times New Roman" w:hAnsi="Times New Roman" w:cs="Times New Roman"/>
          <w:sz w:val="25"/>
          <w:szCs w:val="25"/>
        </w:rPr>
        <w:t>im order staying publication of the panel. That order continued to remain operative for nearly five years till 2009 when the writ petitioner-Kavindra Narayan Roy withdrew the said petition as he had by that time attained the age of superannuation. The Sing</w:t>
      </w:r>
      <w:r w:rsidRPr="006959D2">
        <w:rPr>
          <w:rFonts w:ascii="Times New Roman" w:hAnsi="Times New Roman" w:cs="Times New Roman"/>
          <w:sz w:val="25"/>
          <w:szCs w:val="25"/>
        </w:rPr>
        <w:t>le Judge of the High Court of Calcutta while dismissing the writ petition as withdrawn vacated all interim orders but directed that the period during which the panel could not be operated due to the interim order passed in the writ petition should be exclu</w:t>
      </w:r>
      <w:r w:rsidRPr="006959D2">
        <w:rPr>
          <w:rFonts w:ascii="Times New Roman" w:hAnsi="Times New Roman" w:cs="Times New Roman"/>
          <w:sz w:val="25"/>
          <w:szCs w:val="25"/>
        </w:rPr>
        <w:t>ded for computing the life of the panel.</w:t>
      </w:r>
    </w:p>
    <w:p w:rsidR="00820D12" w:rsidRPr="006959D2" w:rsidRDefault="0072229C">
      <w:pPr>
        <w:pStyle w:val="Bodytext0"/>
        <w:numPr>
          <w:ilvl w:val="0"/>
          <w:numId w:val="1"/>
        </w:numPr>
        <w:shd w:val="clear" w:color="auto" w:fill="auto"/>
        <w:spacing w:before="0" w:after="240" w:line="293" w:lineRule="exact"/>
        <w:ind w:left="20" w:right="20"/>
        <w:jc w:val="both"/>
        <w:rPr>
          <w:rFonts w:ascii="Times New Roman" w:hAnsi="Times New Roman" w:cs="Times New Roman"/>
          <w:sz w:val="25"/>
          <w:szCs w:val="25"/>
        </w:rPr>
      </w:pPr>
      <w:r w:rsidRPr="006959D2">
        <w:rPr>
          <w:rFonts w:ascii="Times New Roman" w:hAnsi="Times New Roman" w:cs="Times New Roman"/>
          <w:sz w:val="25"/>
          <w:szCs w:val="25"/>
        </w:rPr>
        <w:t xml:space="preserve"> The School Service Commission, it appears, took no further steps in the matter nor was the panel published. This led to the filing of the two writ petitions one of which happened to be Writ Petition No.5866 (W) of </w:t>
      </w:r>
      <w:r w:rsidRPr="006959D2">
        <w:rPr>
          <w:rFonts w:ascii="Times New Roman" w:hAnsi="Times New Roman" w:cs="Times New Roman"/>
          <w:sz w:val="25"/>
          <w:szCs w:val="25"/>
        </w:rPr>
        <w:t xml:space="preserve">2009 filed by respondent No.1-Shri Arvind Kumar Rai in which the said petitioner sought a mandamus directing the School Service Commission to recommend his name for appointment against the available vacancy. His case was that since the Rajaram </w:t>
      </w:r>
      <w:r w:rsidRPr="006959D2">
        <w:rPr>
          <w:rFonts w:ascii="Times New Roman" w:hAnsi="Times New Roman" w:cs="Times New Roman"/>
          <w:sz w:val="25"/>
          <w:szCs w:val="25"/>
        </w:rPr>
        <w:lastRenderedPageBreak/>
        <w:t>Choudhary wh</w:t>
      </w:r>
      <w:r w:rsidRPr="006959D2">
        <w:rPr>
          <w:rFonts w:ascii="Times New Roman" w:hAnsi="Times New Roman" w:cs="Times New Roman"/>
          <w:sz w:val="25"/>
          <w:szCs w:val="25"/>
        </w:rPr>
        <w:t>o was placed at serial no.1 in the merit list had retired from service, he alone could be considered for appointment as he figured at serial No.2 of the list.</w:t>
      </w:r>
    </w:p>
    <w:p w:rsidR="00820D12" w:rsidRPr="006959D2" w:rsidRDefault="0072229C">
      <w:pPr>
        <w:pStyle w:val="Bodytext0"/>
        <w:numPr>
          <w:ilvl w:val="0"/>
          <w:numId w:val="1"/>
        </w:numPr>
        <w:shd w:val="clear" w:color="auto" w:fill="auto"/>
        <w:spacing w:before="0" w:after="240" w:line="293" w:lineRule="exact"/>
        <w:ind w:left="20" w:right="40"/>
        <w:jc w:val="both"/>
        <w:rPr>
          <w:rFonts w:ascii="Times New Roman" w:hAnsi="Times New Roman" w:cs="Times New Roman"/>
          <w:sz w:val="25"/>
          <w:szCs w:val="25"/>
        </w:rPr>
      </w:pPr>
      <w:r w:rsidRPr="006959D2">
        <w:rPr>
          <w:rFonts w:ascii="Times New Roman" w:hAnsi="Times New Roman" w:cs="Times New Roman"/>
          <w:sz w:val="25"/>
          <w:szCs w:val="25"/>
        </w:rPr>
        <w:t xml:space="preserve"> The above petition came up before Dipankar Datta, J. and was dismissed by an order dated 27th July, 2009 holding that since more than five years had elapsed ever since the selection process was initiated and since no panel had been published by the School</w:t>
      </w:r>
      <w:r w:rsidRPr="006959D2">
        <w:rPr>
          <w:rFonts w:ascii="Times New Roman" w:hAnsi="Times New Roman" w:cs="Times New Roman"/>
          <w:sz w:val="25"/>
          <w:szCs w:val="25"/>
        </w:rPr>
        <w:t xml:space="preserve"> Service Commission it was not possible to direct the Commission to appoint the petitioner-Shri Arvind Kumar Rai as Headmaster of the school. The Court further held that during the intervening period of five years several other candidates would have acquir</w:t>
      </w:r>
      <w:r w:rsidRPr="006959D2">
        <w:rPr>
          <w:rFonts w:ascii="Times New Roman" w:hAnsi="Times New Roman" w:cs="Times New Roman"/>
          <w:sz w:val="25"/>
          <w:szCs w:val="25"/>
        </w:rPr>
        <w:t>ed eligibility for consideration/appointment against the post of Headmaster of school and that in fairness to all of them they ought to be given a chance to offer their candidature. The Court further held that as the panel had not been published the writ p</w:t>
      </w:r>
      <w:r w:rsidRPr="006959D2">
        <w:rPr>
          <w:rFonts w:ascii="Times New Roman" w:hAnsi="Times New Roman" w:cs="Times New Roman"/>
          <w:sz w:val="25"/>
          <w:szCs w:val="25"/>
        </w:rPr>
        <w:t>etitioner could not claim a recommendation as of right and that discretionary remedy under Article 226 of the Constitution could be exercised only when the Court was satisfied that it was equitable to do so.</w:t>
      </w:r>
    </w:p>
    <w:p w:rsidR="00820D12" w:rsidRPr="006959D2" w:rsidRDefault="0072229C">
      <w:pPr>
        <w:pStyle w:val="Bodytext0"/>
        <w:numPr>
          <w:ilvl w:val="0"/>
          <w:numId w:val="1"/>
        </w:numPr>
        <w:shd w:val="clear" w:color="auto" w:fill="auto"/>
        <w:spacing w:before="0" w:after="240" w:line="293" w:lineRule="exact"/>
        <w:ind w:left="20" w:right="40"/>
        <w:jc w:val="both"/>
        <w:rPr>
          <w:rFonts w:ascii="Times New Roman" w:hAnsi="Times New Roman" w:cs="Times New Roman"/>
          <w:sz w:val="25"/>
          <w:szCs w:val="25"/>
        </w:rPr>
      </w:pPr>
      <w:r w:rsidRPr="006959D2">
        <w:rPr>
          <w:rFonts w:ascii="Times New Roman" w:hAnsi="Times New Roman" w:cs="Times New Roman"/>
          <w:sz w:val="25"/>
          <w:szCs w:val="25"/>
        </w:rPr>
        <w:t xml:space="preserve"> The appellant-Vijoy Pandey, too, in the meantim</w:t>
      </w:r>
      <w:r w:rsidRPr="006959D2">
        <w:rPr>
          <w:rFonts w:ascii="Times New Roman" w:hAnsi="Times New Roman" w:cs="Times New Roman"/>
          <w:sz w:val="25"/>
          <w:szCs w:val="25"/>
        </w:rPr>
        <w:t>e, filed Writ Petition No.7310 (W) of 2009 in which he prayed for a direction to the respondents to rescind, cancel and withdraw the panel for the post of Headmaster of the school prepared on the basis of the interview held on 6th January, 2004. A Single B</w:t>
      </w:r>
      <w:r w:rsidRPr="006959D2">
        <w:rPr>
          <w:rFonts w:ascii="Times New Roman" w:hAnsi="Times New Roman" w:cs="Times New Roman"/>
          <w:sz w:val="25"/>
          <w:szCs w:val="25"/>
        </w:rPr>
        <w:t>ench of the Calcutta High Court entertained the said petition and by an order dated 4th August, 2009 directed status quo to be maintained regarding appointment to the post of Headmaster. Three appeals came to be filed in the above background before the Div</w:t>
      </w:r>
      <w:r w:rsidRPr="006959D2">
        <w:rPr>
          <w:rFonts w:ascii="Times New Roman" w:hAnsi="Times New Roman" w:cs="Times New Roman"/>
          <w:sz w:val="25"/>
          <w:szCs w:val="25"/>
        </w:rPr>
        <w:t>ision Bench of the High Court. One of these appeals filed by Arvind Kumar Rai was directed against order dated 27th July, 2009 passed by Dipankar Datta, J in Writ Petition No.5866 of 2009. The second appeal, too, was filed by Arvind Kumar Rai assailing ord</w:t>
      </w:r>
      <w:r w:rsidRPr="006959D2">
        <w:rPr>
          <w:rFonts w:ascii="Times New Roman" w:hAnsi="Times New Roman" w:cs="Times New Roman"/>
          <w:sz w:val="25"/>
          <w:szCs w:val="25"/>
        </w:rPr>
        <w:t>er dated 4th August, 2009 passed by Soumitra Pal J. in Writ Petition No.7310 of 2009 directing status quo to be maintained. The third appeal was filed by appellant-Vijoy Kumar Pandey against order dated 12th March, 2009 passed by Dipankar Datta, J. in Writ</w:t>
      </w:r>
      <w:r w:rsidRPr="006959D2">
        <w:rPr>
          <w:rFonts w:ascii="Times New Roman" w:hAnsi="Times New Roman" w:cs="Times New Roman"/>
          <w:sz w:val="25"/>
          <w:szCs w:val="25"/>
        </w:rPr>
        <w:t xml:space="preserve"> Petition No.6117 (W) of 2004 whereby the School Service Commission had been directed to exclude the period during which there was an interim order, while computing the life of the panel.</w:t>
      </w:r>
    </w:p>
    <w:p w:rsidR="00820D12" w:rsidRPr="006959D2" w:rsidRDefault="0072229C">
      <w:pPr>
        <w:pStyle w:val="Bodytext0"/>
        <w:numPr>
          <w:ilvl w:val="0"/>
          <w:numId w:val="1"/>
        </w:numPr>
        <w:shd w:val="clear" w:color="auto" w:fill="auto"/>
        <w:spacing w:before="0" w:line="293" w:lineRule="exact"/>
        <w:ind w:left="20" w:right="40"/>
        <w:jc w:val="both"/>
        <w:rPr>
          <w:rFonts w:ascii="Times New Roman" w:hAnsi="Times New Roman" w:cs="Times New Roman"/>
          <w:sz w:val="25"/>
          <w:szCs w:val="25"/>
        </w:rPr>
      </w:pPr>
      <w:r w:rsidRPr="006959D2">
        <w:rPr>
          <w:rFonts w:ascii="Times New Roman" w:hAnsi="Times New Roman" w:cs="Times New Roman"/>
          <w:sz w:val="25"/>
          <w:szCs w:val="25"/>
        </w:rPr>
        <w:t xml:space="preserve"> The first of the abovementioned three appeal was allowed by the Div</w:t>
      </w:r>
      <w:r w:rsidRPr="006959D2">
        <w:rPr>
          <w:rFonts w:ascii="Times New Roman" w:hAnsi="Times New Roman" w:cs="Times New Roman"/>
          <w:sz w:val="25"/>
          <w:szCs w:val="25"/>
        </w:rPr>
        <w:t>ision Bench by an order dated 29th January, 2010 setting aside order dated 27th July, 2009 passed by Dipankar Datta, J. with a direction to the School Service Commission to act in terms of the earlier order dated 12th March, 2009 passed by the very same Ho</w:t>
      </w:r>
      <w:r w:rsidRPr="006959D2">
        <w:rPr>
          <w:rFonts w:ascii="Times New Roman" w:hAnsi="Times New Roman" w:cs="Times New Roman"/>
          <w:sz w:val="25"/>
          <w:szCs w:val="25"/>
        </w:rPr>
        <w:t>n’ble Judge. Taking note of the said order of the Division Bench the second mentioned appeal preferred against the interim order dated 4th August, 2009 passed by Soumitra Pal J. was held to be infructuous and was disposed of by the Division Bench by an ord</w:t>
      </w:r>
      <w:r w:rsidRPr="006959D2">
        <w:rPr>
          <w:rFonts w:ascii="Times New Roman" w:hAnsi="Times New Roman" w:cs="Times New Roman"/>
          <w:sz w:val="25"/>
          <w:szCs w:val="25"/>
        </w:rPr>
        <w:t>er dated 23rd August, 2010. The Court was of the view that in the light of the direction issued by a coordinate Bench directing the School Service Commission to give effect to the order dated 12th March, 2009 passed by the Dipankar Dutta, J. it was not pos</w:t>
      </w:r>
      <w:r w:rsidRPr="006959D2">
        <w:rPr>
          <w:rFonts w:ascii="Times New Roman" w:hAnsi="Times New Roman" w:cs="Times New Roman"/>
          <w:sz w:val="25"/>
          <w:szCs w:val="25"/>
        </w:rPr>
        <w:t>sible to give any contrary direction to the Commission and that the interim order passed by the Single Judge to that effect had lost its force on that count.</w:t>
      </w:r>
    </w:p>
    <w:p w:rsidR="00820D12" w:rsidRPr="006959D2" w:rsidRDefault="0072229C">
      <w:pPr>
        <w:pStyle w:val="Bodytext0"/>
        <w:numPr>
          <w:ilvl w:val="0"/>
          <w:numId w:val="1"/>
        </w:numPr>
        <w:shd w:val="clear" w:color="auto" w:fill="auto"/>
        <w:spacing w:before="0" w:line="293" w:lineRule="exact"/>
        <w:ind w:left="20" w:right="40"/>
        <w:jc w:val="both"/>
        <w:rPr>
          <w:rFonts w:ascii="Times New Roman" w:hAnsi="Times New Roman" w:cs="Times New Roman"/>
          <w:sz w:val="25"/>
          <w:szCs w:val="25"/>
        </w:rPr>
      </w:pPr>
      <w:r w:rsidRPr="006959D2">
        <w:rPr>
          <w:rFonts w:ascii="Times New Roman" w:hAnsi="Times New Roman" w:cs="Times New Roman"/>
          <w:sz w:val="25"/>
          <w:szCs w:val="25"/>
        </w:rPr>
        <w:t xml:space="preserve"> As regards the appeal filed by the appellant-Vijoy Kumar Pandey the Division Bench in its order d</w:t>
      </w:r>
      <w:r w:rsidRPr="006959D2">
        <w:rPr>
          <w:rFonts w:ascii="Times New Roman" w:hAnsi="Times New Roman" w:cs="Times New Roman"/>
          <w:sz w:val="25"/>
          <w:szCs w:val="25"/>
        </w:rPr>
        <w:t>ated 23rd August, 2010 held that in the light of the order dated 29th January, 2010 passed by a coordinate Bench there was no scope of challenging order dated 12th March,</w:t>
      </w:r>
    </w:p>
    <w:p w:rsidR="00820D12" w:rsidRPr="006959D2" w:rsidRDefault="0072229C">
      <w:pPr>
        <w:pStyle w:val="Bodytext0"/>
        <w:numPr>
          <w:ilvl w:val="0"/>
          <w:numId w:val="2"/>
        </w:numPr>
        <w:shd w:val="clear" w:color="auto" w:fill="auto"/>
        <w:spacing w:before="0" w:after="240" w:line="293" w:lineRule="exact"/>
        <w:ind w:left="20" w:right="40"/>
        <w:jc w:val="both"/>
        <w:rPr>
          <w:rFonts w:ascii="Times New Roman" w:hAnsi="Times New Roman" w:cs="Times New Roman"/>
          <w:sz w:val="25"/>
          <w:szCs w:val="25"/>
        </w:rPr>
      </w:pPr>
      <w:r w:rsidRPr="006959D2">
        <w:rPr>
          <w:rFonts w:ascii="Times New Roman" w:hAnsi="Times New Roman" w:cs="Times New Roman"/>
          <w:sz w:val="25"/>
          <w:szCs w:val="25"/>
        </w:rPr>
        <w:t xml:space="preserve"> passed by Dipankar Datta, J. The Court made it clear that the appellant will be free</w:t>
      </w:r>
      <w:r w:rsidRPr="006959D2">
        <w:rPr>
          <w:rFonts w:ascii="Times New Roman" w:hAnsi="Times New Roman" w:cs="Times New Roman"/>
          <w:sz w:val="25"/>
          <w:szCs w:val="25"/>
        </w:rPr>
        <w:t xml:space="preserve"> to seek appropriate remedy before the appropriate forum in accordance with law. A special leave petition filed against the aforementioned order dated 23rd August, 2010 passed by the Division Bench was withdrawn and was dismissed by this Court by order dat</w:t>
      </w:r>
      <w:r w:rsidRPr="006959D2">
        <w:rPr>
          <w:rFonts w:ascii="Times New Roman" w:hAnsi="Times New Roman" w:cs="Times New Roman"/>
          <w:sz w:val="25"/>
          <w:szCs w:val="25"/>
        </w:rPr>
        <w:t>ed 21st January, 2011.</w:t>
      </w:r>
    </w:p>
    <w:p w:rsidR="00820D12" w:rsidRPr="006959D2" w:rsidRDefault="0072229C">
      <w:pPr>
        <w:pStyle w:val="Bodytext0"/>
        <w:numPr>
          <w:ilvl w:val="0"/>
          <w:numId w:val="1"/>
        </w:numPr>
        <w:shd w:val="clear" w:color="auto" w:fill="auto"/>
        <w:spacing w:before="0" w:line="293" w:lineRule="exact"/>
        <w:ind w:left="20"/>
        <w:jc w:val="both"/>
        <w:rPr>
          <w:rFonts w:ascii="Times New Roman" w:hAnsi="Times New Roman" w:cs="Times New Roman"/>
          <w:sz w:val="25"/>
          <w:szCs w:val="25"/>
        </w:rPr>
      </w:pPr>
      <w:r w:rsidRPr="006959D2">
        <w:rPr>
          <w:rFonts w:ascii="Times New Roman" w:hAnsi="Times New Roman" w:cs="Times New Roman"/>
          <w:sz w:val="25"/>
          <w:szCs w:val="25"/>
        </w:rPr>
        <w:t xml:space="preserve"> The present appeal assails the correctness of the judgment and order dated 29th January,</w:t>
      </w:r>
    </w:p>
    <w:p w:rsidR="00820D12" w:rsidRPr="006959D2" w:rsidRDefault="0072229C">
      <w:pPr>
        <w:pStyle w:val="Bodytext0"/>
        <w:numPr>
          <w:ilvl w:val="0"/>
          <w:numId w:val="2"/>
        </w:numPr>
        <w:shd w:val="clear" w:color="auto" w:fill="auto"/>
        <w:spacing w:before="0" w:after="240" w:line="293" w:lineRule="exact"/>
        <w:ind w:left="20" w:right="40"/>
        <w:jc w:val="both"/>
        <w:rPr>
          <w:rFonts w:ascii="Times New Roman" w:hAnsi="Times New Roman" w:cs="Times New Roman"/>
          <w:sz w:val="25"/>
          <w:szCs w:val="25"/>
        </w:rPr>
      </w:pPr>
      <w:r w:rsidRPr="006959D2">
        <w:rPr>
          <w:rFonts w:ascii="Times New Roman" w:hAnsi="Times New Roman" w:cs="Times New Roman"/>
          <w:sz w:val="25"/>
          <w:szCs w:val="25"/>
        </w:rPr>
        <w:t xml:space="preserve"> whereby the Division Bench of the High Court has allowed F.M.A. No.1415 of 2009 and set aside order dated 27th July, 2009 passed by Dipankar D</w:t>
      </w:r>
      <w:r w:rsidRPr="006959D2">
        <w:rPr>
          <w:rFonts w:ascii="Times New Roman" w:hAnsi="Times New Roman" w:cs="Times New Roman"/>
          <w:sz w:val="25"/>
          <w:szCs w:val="25"/>
        </w:rPr>
        <w:t>atta J. in Writ Petition No.5866 (W) of 2009 with W.P. 6117 (W) of 2004 and directed that the Commission shall act in accordance with order dated 12th March, 2009 passed by the same Hon’ble Judge in Writ Petition No.6117(W) of 2004.</w:t>
      </w:r>
    </w:p>
    <w:p w:rsidR="00820D12" w:rsidRPr="006959D2" w:rsidRDefault="0072229C">
      <w:pPr>
        <w:pStyle w:val="Bodytext0"/>
        <w:numPr>
          <w:ilvl w:val="0"/>
          <w:numId w:val="1"/>
        </w:numPr>
        <w:shd w:val="clear" w:color="auto" w:fill="auto"/>
        <w:spacing w:before="0" w:line="293" w:lineRule="exact"/>
        <w:ind w:left="20" w:right="40"/>
        <w:jc w:val="both"/>
        <w:rPr>
          <w:rFonts w:ascii="Times New Roman" w:hAnsi="Times New Roman" w:cs="Times New Roman"/>
          <w:sz w:val="25"/>
          <w:szCs w:val="25"/>
        </w:rPr>
      </w:pPr>
      <w:r w:rsidRPr="006959D2">
        <w:rPr>
          <w:rFonts w:ascii="Times New Roman" w:hAnsi="Times New Roman" w:cs="Times New Roman"/>
          <w:sz w:val="25"/>
          <w:szCs w:val="25"/>
        </w:rPr>
        <w:t xml:space="preserve"> We have heard learned </w:t>
      </w:r>
      <w:r w:rsidRPr="006959D2">
        <w:rPr>
          <w:rFonts w:ascii="Times New Roman" w:hAnsi="Times New Roman" w:cs="Times New Roman"/>
          <w:sz w:val="25"/>
          <w:szCs w:val="25"/>
        </w:rPr>
        <w:t>counsel for the parties at considerable length. Even though we have retraced in detail the chequered history of the litigation between the parties the question that falls for determination actually lies in a narrow compass. The question precisely is whethe</w:t>
      </w:r>
      <w:r w:rsidRPr="006959D2">
        <w:rPr>
          <w:rFonts w:ascii="Times New Roman" w:hAnsi="Times New Roman" w:cs="Times New Roman"/>
          <w:sz w:val="25"/>
          <w:szCs w:val="25"/>
        </w:rPr>
        <w:t xml:space="preserve">r any panel of candidates has been prepared by the Commission in accordance with the provisions of the West Bengal School Service Commission (Procedure for selection of persons for appointment to the post of teachers including Head Masters/Head Mistresses </w:t>
      </w:r>
      <w:r w:rsidRPr="006959D2">
        <w:rPr>
          <w:rFonts w:ascii="Times New Roman" w:hAnsi="Times New Roman" w:cs="Times New Roman"/>
          <w:sz w:val="25"/>
          <w:szCs w:val="25"/>
        </w:rPr>
        <w:t>Superintendent of Senior Madarasa in recognized non-Government Aided Schools and procedure for conduct of business of the Commission), Regulations, 1988; and if so, whether the same continued to be valid and subsisting to entitle the selected candidates or</w:t>
      </w:r>
      <w:r w:rsidRPr="006959D2">
        <w:rPr>
          <w:rFonts w:ascii="Times New Roman" w:hAnsi="Times New Roman" w:cs="Times New Roman"/>
          <w:sz w:val="25"/>
          <w:szCs w:val="25"/>
        </w:rPr>
        <w:t xml:space="preserve"> any one of them to a mandamus directing the competent authority to make an appointment on the basis thereof. We must regretfully say that although repeated rounds of litigation have engaged the attention of the High Court, the High Court has not adverted </w:t>
      </w:r>
      <w:r w:rsidRPr="006959D2">
        <w:rPr>
          <w:rFonts w:ascii="Times New Roman" w:hAnsi="Times New Roman" w:cs="Times New Roman"/>
          <w:sz w:val="25"/>
          <w:szCs w:val="25"/>
        </w:rPr>
        <w:t>to the question whether a panel was indeed prepared and published. It is only in its order dated 27th July, 2009 passed in W.P. No.5866 of 2009 that Dipankar Datta, J. has noticed the non- preparation and publication of such a panel and clearly held that s</w:t>
      </w:r>
      <w:r w:rsidRPr="006959D2">
        <w:rPr>
          <w:rFonts w:ascii="Times New Roman" w:hAnsi="Times New Roman" w:cs="Times New Roman"/>
          <w:sz w:val="25"/>
          <w:szCs w:val="25"/>
        </w:rPr>
        <w:t>ince the panel has not been published, no recommendation or appointment could be claimed by any one of the candidates competing for the same. We need hardly emphasise that preparation and publication of a panel was the least which any candidate seeking app</w:t>
      </w:r>
      <w:r w:rsidRPr="006959D2">
        <w:rPr>
          <w:rFonts w:ascii="Times New Roman" w:hAnsi="Times New Roman" w:cs="Times New Roman"/>
          <w:sz w:val="25"/>
          <w:szCs w:val="25"/>
        </w:rPr>
        <w:t>ointment on the basis thereof was required to establish. We repeatedly asked Mr. Dhruv Mehta, learned senior counsel appearing for Mr. Arvind Kumar Rai, the contesting respondent whether any such panel was ever prepared and published as it ought to be, hav</w:t>
      </w:r>
      <w:r w:rsidRPr="006959D2">
        <w:rPr>
          <w:rFonts w:ascii="Times New Roman" w:hAnsi="Times New Roman" w:cs="Times New Roman"/>
          <w:sz w:val="25"/>
          <w:szCs w:val="25"/>
        </w:rPr>
        <w:t>ing regard to the very nature of the procedure prescribed under the Regulations mentioned above. To the credit of Mr. Mehta, we must say that he fairly conceded that no such panel was ever published. Not only that, Mr. Mehta did not dispute the proposition</w:t>
      </w:r>
      <w:r w:rsidRPr="006959D2">
        <w:rPr>
          <w:rFonts w:ascii="Times New Roman" w:hAnsi="Times New Roman" w:cs="Times New Roman"/>
          <w:sz w:val="25"/>
          <w:szCs w:val="25"/>
        </w:rPr>
        <w:t>, and in our opinion rightly so, that publication of such a panel was absolutely essential not only because the entire process was regulated by statutory regulations but also because the publication was essential in the interest of transparency and probity</w:t>
      </w:r>
      <w:r w:rsidRPr="006959D2">
        <w:rPr>
          <w:rFonts w:ascii="Times New Roman" w:hAnsi="Times New Roman" w:cs="Times New Roman"/>
          <w:sz w:val="25"/>
          <w:szCs w:val="25"/>
        </w:rPr>
        <w:t xml:space="preserve"> in matters concerning appointments to offices under the State and in matters affecting rights of the citizens in discharge of governmental functions.</w:t>
      </w:r>
    </w:p>
    <w:p w:rsidR="00820D12" w:rsidRPr="006959D2" w:rsidRDefault="0072229C">
      <w:pPr>
        <w:pStyle w:val="Bodytext0"/>
        <w:numPr>
          <w:ilvl w:val="0"/>
          <w:numId w:val="1"/>
        </w:numPr>
        <w:shd w:val="clear" w:color="auto" w:fill="auto"/>
        <w:spacing w:before="0" w:after="240" w:line="293" w:lineRule="exact"/>
        <w:ind w:left="20" w:right="280"/>
        <w:jc w:val="both"/>
        <w:rPr>
          <w:rFonts w:ascii="Times New Roman" w:hAnsi="Times New Roman" w:cs="Times New Roman"/>
          <w:sz w:val="25"/>
          <w:szCs w:val="25"/>
        </w:rPr>
      </w:pPr>
      <w:r w:rsidRPr="006959D2">
        <w:rPr>
          <w:rFonts w:ascii="Times New Roman" w:hAnsi="Times New Roman" w:cs="Times New Roman"/>
          <w:sz w:val="25"/>
          <w:szCs w:val="25"/>
        </w:rPr>
        <w:t xml:space="preserve"> We may at this stage refer to a decision of this Court in State of Andhra Pradesh &amp; Ors. </w:t>
      </w:r>
      <w:hyperlink r:id="rId7" w:history="1">
        <w:r w:rsidRPr="006959D2">
          <w:rPr>
            <w:rStyle w:val="Hyperlink"/>
            <w:rFonts w:ascii="Times New Roman" w:hAnsi="Times New Roman" w:cs="Times New Roman"/>
            <w:sz w:val="25"/>
            <w:szCs w:val="25"/>
          </w:rPr>
          <w:t>v. D. Dastagiri &amp; Ors., (2003) 5 SCC 373. In that case although the State Government had</w:t>
        </w:r>
      </w:hyperlink>
      <w:r w:rsidRPr="006959D2">
        <w:rPr>
          <w:rFonts w:ascii="Times New Roman" w:hAnsi="Times New Roman" w:cs="Times New Roman"/>
          <w:sz w:val="25"/>
          <w:szCs w:val="25"/>
        </w:rPr>
        <w:t xml:space="preserve"> </w:t>
      </w:r>
      <w:hyperlink r:id="rId8" w:history="1">
        <w:r w:rsidRPr="006959D2">
          <w:rPr>
            <w:rStyle w:val="Hyperlink"/>
            <w:rFonts w:ascii="Times New Roman" w:hAnsi="Times New Roman" w:cs="Times New Roman"/>
            <w:sz w:val="25"/>
            <w:szCs w:val="25"/>
          </w:rPr>
          <w:t>notified the vacancies and the process of recruitment had been initiated, the results</w:t>
        </w:r>
        <w:r w:rsidRPr="006959D2">
          <w:rPr>
            <w:rStyle w:val="Hyperlink"/>
            <w:rFonts w:ascii="Times New Roman" w:hAnsi="Times New Roman" w:cs="Times New Roman"/>
            <w:sz w:val="25"/>
            <w:szCs w:val="25"/>
          </w:rPr>
          <w:t xml:space="preserve"> of the</w:t>
        </w:r>
      </w:hyperlink>
      <w:r w:rsidRPr="006959D2">
        <w:rPr>
          <w:rFonts w:ascii="Times New Roman" w:hAnsi="Times New Roman" w:cs="Times New Roman"/>
          <w:sz w:val="25"/>
          <w:szCs w:val="25"/>
        </w:rPr>
        <w:t xml:space="preserve"> </w:t>
      </w:r>
      <w:hyperlink r:id="rId9" w:history="1">
        <w:r w:rsidRPr="006959D2">
          <w:rPr>
            <w:rStyle w:val="Hyperlink"/>
            <w:rFonts w:ascii="Times New Roman" w:hAnsi="Times New Roman" w:cs="Times New Roman"/>
            <w:sz w:val="25"/>
            <w:szCs w:val="25"/>
          </w:rPr>
          <w:t>interviews thus conducted were not declared and no select list was published. The</w:t>
        </w:r>
      </w:hyperlink>
      <w:r w:rsidRPr="006959D2">
        <w:rPr>
          <w:rFonts w:ascii="Times New Roman" w:hAnsi="Times New Roman" w:cs="Times New Roman"/>
          <w:sz w:val="25"/>
          <w:szCs w:val="25"/>
        </w:rPr>
        <w:t xml:space="preserve"> </w:t>
      </w:r>
      <w:hyperlink r:id="rId10" w:history="1">
        <w:r w:rsidRPr="006959D2">
          <w:rPr>
            <w:rStyle w:val="Hyperlink"/>
            <w:rFonts w:ascii="Times New Roman" w:hAnsi="Times New Roman" w:cs="Times New Roman"/>
            <w:sz w:val="25"/>
            <w:szCs w:val="25"/>
          </w:rPr>
          <w:t>recruitment process was subsequently cancelled. The respondent can</w:t>
        </w:r>
        <w:r w:rsidRPr="006959D2">
          <w:rPr>
            <w:rStyle w:val="Hyperlink"/>
            <w:rFonts w:ascii="Times New Roman" w:hAnsi="Times New Roman" w:cs="Times New Roman"/>
            <w:sz w:val="25"/>
            <w:szCs w:val="25"/>
          </w:rPr>
          <w:t>didates filed writ</w:t>
        </w:r>
      </w:hyperlink>
      <w:r w:rsidRPr="006959D2">
        <w:rPr>
          <w:rFonts w:ascii="Times New Roman" w:hAnsi="Times New Roman" w:cs="Times New Roman"/>
          <w:sz w:val="25"/>
          <w:szCs w:val="25"/>
        </w:rPr>
        <w:t xml:space="preserve"> </w:t>
      </w:r>
      <w:hyperlink r:id="rId11" w:history="1">
        <w:r w:rsidRPr="006959D2">
          <w:rPr>
            <w:rStyle w:val="Hyperlink"/>
            <w:rFonts w:ascii="Times New Roman" w:hAnsi="Times New Roman" w:cs="Times New Roman"/>
            <w:sz w:val="25"/>
            <w:szCs w:val="25"/>
          </w:rPr>
          <w:t>petitions before the High Court seeking a mandamus directing the appellants to appoint them,</w:t>
        </w:r>
      </w:hyperlink>
      <w:r w:rsidRPr="006959D2">
        <w:rPr>
          <w:rFonts w:ascii="Times New Roman" w:hAnsi="Times New Roman" w:cs="Times New Roman"/>
          <w:sz w:val="25"/>
          <w:szCs w:val="25"/>
        </w:rPr>
        <w:t xml:space="preserve"> </w:t>
      </w:r>
      <w:hyperlink r:id="rId12" w:history="1">
        <w:r w:rsidRPr="006959D2">
          <w:rPr>
            <w:rStyle w:val="Hyperlink"/>
            <w:rFonts w:ascii="Times New Roman" w:hAnsi="Times New Roman" w:cs="Times New Roman"/>
            <w:sz w:val="25"/>
            <w:szCs w:val="25"/>
          </w:rPr>
          <w:t>which were allowed. However, this Court allo</w:t>
        </w:r>
        <w:r w:rsidRPr="006959D2">
          <w:rPr>
            <w:rStyle w:val="Hyperlink"/>
            <w:rFonts w:ascii="Times New Roman" w:hAnsi="Times New Roman" w:cs="Times New Roman"/>
            <w:sz w:val="25"/>
            <w:szCs w:val="25"/>
          </w:rPr>
          <w:t>wed the appeals against the High Court’s order,</w:t>
        </w:r>
      </w:hyperlink>
      <w:r w:rsidRPr="006959D2">
        <w:rPr>
          <w:rFonts w:ascii="Times New Roman" w:hAnsi="Times New Roman" w:cs="Times New Roman"/>
          <w:sz w:val="25"/>
          <w:szCs w:val="25"/>
        </w:rPr>
        <w:t xml:space="preserve"> </w:t>
      </w:r>
      <w:hyperlink r:id="rId13" w:history="1">
        <w:r w:rsidRPr="006959D2">
          <w:rPr>
            <w:rStyle w:val="Hyperlink"/>
            <w:rFonts w:ascii="Times New Roman" w:hAnsi="Times New Roman" w:cs="Times New Roman"/>
            <w:sz w:val="25"/>
            <w:szCs w:val="25"/>
          </w:rPr>
          <w:t>observing:</w:t>
        </w:r>
      </w:hyperlink>
    </w:p>
    <w:p w:rsidR="00820D12" w:rsidRPr="006959D2" w:rsidRDefault="00820D12">
      <w:pPr>
        <w:pStyle w:val="Bodytext0"/>
        <w:shd w:val="clear" w:color="auto" w:fill="auto"/>
        <w:spacing w:before="0" w:after="240" w:line="293" w:lineRule="exact"/>
        <w:ind w:left="740" w:right="280"/>
        <w:jc w:val="both"/>
        <w:rPr>
          <w:rFonts w:ascii="Times New Roman" w:hAnsi="Times New Roman" w:cs="Times New Roman"/>
          <w:sz w:val="25"/>
          <w:szCs w:val="25"/>
        </w:rPr>
      </w:pPr>
      <w:hyperlink r:id="rId14" w:history="1">
        <w:r w:rsidR="0072229C" w:rsidRPr="006959D2">
          <w:rPr>
            <w:rStyle w:val="Hyperlink"/>
            <w:rFonts w:ascii="Times New Roman" w:hAnsi="Times New Roman" w:cs="Times New Roman"/>
            <w:sz w:val="25"/>
            <w:szCs w:val="25"/>
          </w:rPr>
          <w:t>“4. In the counter-affidavit filed on behalf of the respondents ... it is stated that the</w:t>
        </w:r>
      </w:hyperlink>
      <w:r w:rsidR="0072229C" w:rsidRPr="006959D2">
        <w:rPr>
          <w:rFonts w:ascii="Times New Roman" w:hAnsi="Times New Roman" w:cs="Times New Roman"/>
          <w:sz w:val="25"/>
          <w:szCs w:val="25"/>
        </w:rPr>
        <w:t xml:space="preserve"> </w:t>
      </w:r>
      <w:hyperlink r:id="rId15" w:history="1">
        <w:r w:rsidR="0072229C" w:rsidRPr="006959D2">
          <w:rPr>
            <w:rStyle w:val="Hyperlink"/>
            <w:rFonts w:ascii="Times New Roman" w:hAnsi="Times New Roman" w:cs="Times New Roman"/>
            <w:sz w:val="25"/>
            <w:szCs w:val="25"/>
          </w:rPr>
          <w:t>process of selection was cancelled at the last stage i.e. before publishing the list of</w:t>
        </w:r>
      </w:hyperlink>
      <w:r w:rsidR="0072229C" w:rsidRPr="006959D2">
        <w:rPr>
          <w:rFonts w:ascii="Times New Roman" w:hAnsi="Times New Roman" w:cs="Times New Roman"/>
          <w:sz w:val="25"/>
          <w:szCs w:val="25"/>
        </w:rPr>
        <w:t xml:space="preserve"> </w:t>
      </w:r>
      <w:hyperlink r:id="rId16" w:history="1">
        <w:r w:rsidR="0072229C" w:rsidRPr="006959D2">
          <w:rPr>
            <w:rStyle w:val="Hyperlink"/>
            <w:rFonts w:ascii="Times New Roman" w:hAnsi="Times New Roman" w:cs="Times New Roman"/>
            <w:sz w:val="25"/>
            <w:szCs w:val="25"/>
          </w:rPr>
          <w:t>selected candidates on the sole ground that the State Government wasted</w:t>
        </w:r>
        <w:r w:rsidR="0072229C" w:rsidRPr="006959D2">
          <w:rPr>
            <w:rStyle w:val="Hyperlink"/>
            <w:rFonts w:ascii="Times New Roman" w:hAnsi="Times New Roman" w:cs="Times New Roman"/>
            <w:sz w:val="25"/>
            <w:szCs w:val="25"/>
          </w:rPr>
          <w:t xml:space="preserve"> to introduce</w:t>
        </w:r>
      </w:hyperlink>
      <w:r w:rsidR="0072229C" w:rsidRPr="006959D2">
        <w:rPr>
          <w:rFonts w:ascii="Times New Roman" w:hAnsi="Times New Roman" w:cs="Times New Roman"/>
          <w:sz w:val="25"/>
          <w:szCs w:val="25"/>
        </w:rPr>
        <w:t xml:space="preserve"> </w:t>
      </w:r>
      <w:hyperlink r:id="rId17" w:history="1">
        <w:r w:rsidR="0072229C" w:rsidRPr="006959D2">
          <w:rPr>
            <w:rStyle w:val="Hyperlink"/>
            <w:rFonts w:ascii="Times New Roman" w:hAnsi="Times New Roman" w:cs="Times New Roman"/>
            <w:sz w:val="25"/>
            <w:szCs w:val="25"/>
          </w:rPr>
          <w:t>prohibition and obviously the Government felt that there was no need of Excise</w:t>
        </w:r>
      </w:hyperlink>
      <w:r w:rsidR="0072229C" w:rsidRPr="006959D2">
        <w:rPr>
          <w:rFonts w:ascii="Times New Roman" w:hAnsi="Times New Roman" w:cs="Times New Roman"/>
          <w:sz w:val="25"/>
          <w:szCs w:val="25"/>
        </w:rPr>
        <w:t xml:space="preserve"> </w:t>
      </w:r>
      <w:hyperlink r:id="rId18" w:history="1">
        <w:r w:rsidR="0072229C" w:rsidRPr="006959D2">
          <w:rPr>
            <w:rStyle w:val="Hyperlink"/>
            <w:rFonts w:ascii="Times New Roman" w:hAnsi="Times New Roman" w:cs="Times New Roman"/>
            <w:sz w:val="25"/>
            <w:szCs w:val="25"/>
          </w:rPr>
          <w:t>Constables during imposition of prohibition in the State. There</w:t>
        </w:r>
        <w:r w:rsidR="0072229C" w:rsidRPr="006959D2">
          <w:rPr>
            <w:rStyle w:val="Hyperlink"/>
            <w:rFonts w:ascii="Times New Roman" w:hAnsi="Times New Roman" w:cs="Times New Roman"/>
            <w:sz w:val="25"/>
            <w:szCs w:val="25"/>
          </w:rPr>
          <w:t xml:space="preserve"> is serious dispute as to</w:t>
        </w:r>
      </w:hyperlink>
      <w:r w:rsidR="0072229C" w:rsidRPr="006959D2">
        <w:rPr>
          <w:rFonts w:ascii="Times New Roman" w:hAnsi="Times New Roman" w:cs="Times New Roman"/>
          <w:sz w:val="25"/>
          <w:szCs w:val="25"/>
        </w:rPr>
        <w:t xml:space="preserve"> </w:t>
      </w:r>
      <w:hyperlink r:id="rId19" w:history="1">
        <w:r w:rsidR="0072229C" w:rsidRPr="006959D2">
          <w:rPr>
            <w:rStyle w:val="Hyperlink"/>
            <w:rFonts w:ascii="Times New Roman" w:hAnsi="Times New Roman" w:cs="Times New Roman"/>
            <w:sz w:val="25"/>
            <w:szCs w:val="25"/>
          </w:rPr>
          <w:t>the completion of the selection process. According to the appellants, the selection</w:t>
        </w:r>
      </w:hyperlink>
      <w:r w:rsidR="0072229C" w:rsidRPr="006959D2">
        <w:rPr>
          <w:rFonts w:ascii="Times New Roman" w:hAnsi="Times New Roman" w:cs="Times New Roman"/>
          <w:sz w:val="25"/>
          <w:szCs w:val="25"/>
        </w:rPr>
        <w:t xml:space="preserve"> </w:t>
      </w:r>
      <w:hyperlink r:id="rId20" w:history="1">
        <w:r w:rsidR="0072229C" w:rsidRPr="006959D2">
          <w:rPr>
            <w:rStyle w:val="Hyperlink"/>
            <w:rFonts w:ascii="Times New Roman" w:hAnsi="Times New Roman" w:cs="Times New Roman"/>
            <w:sz w:val="25"/>
            <w:szCs w:val="25"/>
          </w:rPr>
          <w:t>process was not complete. No record has been p</w:t>
        </w:r>
        <w:r w:rsidR="0072229C" w:rsidRPr="006959D2">
          <w:rPr>
            <w:rStyle w:val="Hyperlink"/>
            <w:rFonts w:ascii="Times New Roman" w:hAnsi="Times New Roman" w:cs="Times New Roman"/>
            <w:sz w:val="25"/>
            <w:szCs w:val="25"/>
          </w:rPr>
          <w:t>laced before us to show that the</w:t>
        </w:r>
      </w:hyperlink>
      <w:r w:rsidR="0072229C" w:rsidRPr="006959D2">
        <w:rPr>
          <w:rFonts w:ascii="Times New Roman" w:hAnsi="Times New Roman" w:cs="Times New Roman"/>
          <w:sz w:val="25"/>
          <w:szCs w:val="25"/>
        </w:rPr>
        <w:t xml:space="preserve"> </w:t>
      </w:r>
      <w:hyperlink r:id="rId21" w:history="1">
        <w:r w:rsidR="0072229C" w:rsidRPr="006959D2">
          <w:rPr>
            <w:rStyle w:val="Hyperlink"/>
            <w:rFonts w:ascii="Times New Roman" w:hAnsi="Times New Roman" w:cs="Times New Roman"/>
            <w:sz w:val="25"/>
            <w:szCs w:val="25"/>
          </w:rPr>
          <w:t>selection process was complete, but, it is not disputed that the select list was not</w:t>
        </w:r>
      </w:hyperlink>
      <w:r w:rsidR="0072229C" w:rsidRPr="006959D2">
        <w:rPr>
          <w:rFonts w:ascii="Times New Roman" w:hAnsi="Times New Roman" w:cs="Times New Roman"/>
          <w:sz w:val="25"/>
          <w:szCs w:val="25"/>
        </w:rPr>
        <w:t xml:space="preserve"> </w:t>
      </w:r>
      <w:hyperlink r:id="rId22" w:history="1">
        <w:r w:rsidR="0072229C" w:rsidRPr="006959D2">
          <w:rPr>
            <w:rStyle w:val="Hyperlink"/>
            <w:rFonts w:ascii="Times New Roman" w:hAnsi="Times New Roman" w:cs="Times New Roman"/>
            <w:sz w:val="25"/>
            <w:szCs w:val="25"/>
          </w:rPr>
          <w:t>published. In para 16 of the counter a</w:t>
        </w:r>
        <w:r w:rsidR="0072229C" w:rsidRPr="006959D2">
          <w:rPr>
            <w:rStyle w:val="Hyperlink"/>
            <w:rFonts w:ascii="Times New Roman" w:hAnsi="Times New Roman" w:cs="Times New Roman"/>
            <w:sz w:val="25"/>
            <w:szCs w:val="25"/>
          </w:rPr>
          <w:t>ffidavit, referred above, the respondents</w:t>
        </w:r>
      </w:hyperlink>
      <w:r w:rsidR="0072229C" w:rsidRPr="006959D2">
        <w:rPr>
          <w:rFonts w:ascii="Times New Roman" w:hAnsi="Times New Roman" w:cs="Times New Roman"/>
          <w:sz w:val="25"/>
          <w:szCs w:val="25"/>
        </w:rPr>
        <w:t xml:space="preserve"> </w:t>
      </w:r>
      <w:hyperlink r:id="rId23" w:history="1">
        <w:r w:rsidR="0072229C" w:rsidRPr="006959D2">
          <w:rPr>
            <w:rStyle w:val="Hyperlink"/>
            <w:rFonts w:ascii="Times New Roman" w:hAnsi="Times New Roman" w:cs="Times New Roman"/>
            <w:sz w:val="25"/>
            <w:szCs w:val="25"/>
          </w:rPr>
          <w:t>themselves had admitted that the selection process was cancelled at the last stage. In</w:t>
        </w:r>
      </w:hyperlink>
      <w:r w:rsidR="0072229C" w:rsidRPr="006959D2">
        <w:rPr>
          <w:rFonts w:ascii="Times New Roman" w:hAnsi="Times New Roman" w:cs="Times New Roman"/>
          <w:sz w:val="25"/>
          <w:szCs w:val="25"/>
        </w:rPr>
        <w:t xml:space="preserve"> </w:t>
      </w:r>
      <w:hyperlink r:id="rId24" w:history="1">
        <w:r w:rsidR="0072229C" w:rsidRPr="006959D2">
          <w:rPr>
            <w:rStyle w:val="Hyperlink"/>
            <w:rFonts w:ascii="Times New Roman" w:hAnsi="Times New Roman" w:cs="Times New Roman"/>
            <w:sz w:val="25"/>
            <w:szCs w:val="25"/>
          </w:rPr>
          <w:t xml:space="preserve">the absence of publication </w:t>
        </w:r>
        <w:r w:rsidR="0072229C" w:rsidRPr="006959D2">
          <w:rPr>
            <w:rStyle w:val="Hyperlink"/>
            <w:rFonts w:ascii="Times New Roman" w:hAnsi="Times New Roman" w:cs="Times New Roman"/>
            <w:sz w:val="25"/>
            <w:szCs w:val="25"/>
          </w:rPr>
          <w:t>of select list, we are inclined to think that the selection</w:t>
        </w:r>
      </w:hyperlink>
      <w:r w:rsidR="0072229C" w:rsidRPr="006959D2">
        <w:rPr>
          <w:rFonts w:ascii="Times New Roman" w:hAnsi="Times New Roman" w:cs="Times New Roman"/>
          <w:sz w:val="25"/>
          <w:szCs w:val="25"/>
        </w:rPr>
        <w:t xml:space="preserve"> </w:t>
      </w:r>
      <w:hyperlink r:id="rId25" w:history="1">
        <w:r w:rsidR="0072229C" w:rsidRPr="006959D2">
          <w:rPr>
            <w:rStyle w:val="Hyperlink"/>
            <w:rFonts w:ascii="Times New Roman" w:hAnsi="Times New Roman" w:cs="Times New Roman"/>
            <w:sz w:val="25"/>
            <w:szCs w:val="25"/>
          </w:rPr>
          <w:t>process was not complete. Be that as it may, even if the selection process was</w:t>
        </w:r>
      </w:hyperlink>
      <w:r w:rsidR="0072229C" w:rsidRPr="006959D2">
        <w:rPr>
          <w:rFonts w:ascii="Times New Roman" w:hAnsi="Times New Roman" w:cs="Times New Roman"/>
          <w:sz w:val="25"/>
          <w:szCs w:val="25"/>
        </w:rPr>
        <w:t xml:space="preserve"> </w:t>
      </w:r>
      <w:hyperlink r:id="rId26" w:history="1">
        <w:r w:rsidR="0072229C" w:rsidRPr="006959D2">
          <w:rPr>
            <w:rStyle w:val="Hyperlink"/>
            <w:rFonts w:ascii="Times New Roman" w:hAnsi="Times New Roman" w:cs="Times New Roman"/>
            <w:sz w:val="25"/>
            <w:szCs w:val="25"/>
          </w:rPr>
          <w:t>complete and assu</w:t>
        </w:r>
        <w:r w:rsidR="0072229C" w:rsidRPr="006959D2">
          <w:rPr>
            <w:rStyle w:val="Hyperlink"/>
            <w:rFonts w:ascii="Times New Roman" w:hAnsi="Times New Roman" w:cs="Times New Roman"/>
            <w:sz w:val="25"/>
            <w:szCs w:val="25"/>
          </w:rPr>
          <w:t>ming that only select list remained to be published, that does not</w:t>
        </w:r>
      </w:hyperlink>
      <w:r w:rsidR="0072229C" w:rsidRPr="006959D2">
        <w:rPr>
          <w:rFonts w:ascii="Times New Roman" w:hAnsi="Times New Roman" w:cs="Times New Roman"/>
          <w:sz w:val="25"/>
          <w:szCs w:val="25"/>
        </w:rPr>
        <w:t xml:space="preserve"> </w:t>
      </w:r>
      <w:hyperlink r:id="rId27" w:history="1">
        <w:r w:rsidR="0072229C" w:rsidRPr="006959D2">
          <w:rPr>
            <w:rStyle w:val="Hyperlink"/>
            <w:rFonts w:ascii="Times New Roman" w:hAnsi="Times New Roman" w:cs="Times New Roman"/>
            <w:sz w:val="25"/>
            <w:szCs w:val="25"/>
          </w:rPr>
          <w:t>advance the case of the respondents for the simple reason that even the candidates</w:t>
        </w:r>
      </w:hyperlink>
      <w:r w:rsidR="0072229C" w:rsidRPr="006959D2">
        <w:rPr>
          <w:rFonts w:ascii="Times New Roman" w:hAnsi="Times New Roman" w:cs="Times New Roman"/>
          <w:sz w:val="25"/>
          <w:szCs w:val="25"/>
        </w:rPr>
        <w:t xml:space="preserve"> </w:t>
      </w:r>
      <w:hyperlink r:id="rId28" w:history="1">
        <w:r w:rsidR="0072229C" w:rsidRPr="006959D2">
          <w:rPr>
            <w:rStyle w:val="Hyperlink"/>
            <w:rFonts w:ascii="Times New Roman" w:hAnsi="Times New Roman" w:cs="Times New Roman"/>
            <w:sz w:val="25"/>
            <w:szCs w:val="25"/>
          </w:rPr>
          <w:t>who ar</w:t>
        </w:r>
        <w:r w:rsidR="0072229C" w:rsidRPr="006959D2">
          <w:rPr>
            <w:rStyle w:val="Hyperlink"/>
            <w:rFonts w:ascii="Times New Roman" w:hAnsi="Times New Roman" w:cs="Times New Roman"/>
            <w:sz w:val="25"/>
            <w:szCs w:val="25"/>
          </w:rPr>
          <w:t>e selected and whose names find place in the select list, do not get vested right</w:t>
        </w:r>
      </w:hyperlink>
      <w:r w:rsidR="0072229C" w:rsidRPr="006959D2">
        <w:rPr>
          <w:rFonts w:ascii="Times New Roman" w:hAnsi="Times New Roman" w:cs="Times New Roman"/>
          <w:sz w:val="25"/>
          <w:szCs w:val="25"/>
        </w:rPr>
        <w:t xml:space="preserve"> </w:t>
      </w:r>
      <w:hyperlink r:id="rId29" w:history="1">
        <w:r w:rsidR="0072229C" w:rsidRPr="006959D2">
          <w:rPr>
            <w:rStyle w:val="Hyperlink"/>
            <w:rFonts w:ascii="Times New Roman" w:hAnsi="Times New Roman" w:cs="Times New Roman"/>
            <w:sz w:val="25"/>
            <w:szCs w:val="25"/>
          </w:rPr>
          <w:t>to claim appointment based on the select list.” (emphasis supplied)</w:t>
        </w:r>
      </w:hyperlink>
    </w:p>
    <w:p w:rsidR="00820D12" w:rsidRPr="006959D2" w:rsidRDefault="00820D12">
      <w:pPr>
        <w:pStyle w:val="Bodytext0"/>
        <w:numPr>
          <w:ilvl w:val="0"/>
          <w:numId w:val="1"/>
        </w:numPr>
        <w:shd w:val="clear" w:color="auto" w:fill="auto"/>
        <w:spacing w:before="0" w:after="240" w:line="293" w:lineRule="exact"/>
        <w:ind w:left="20" w:right="280"/>
        <w:jc w:val="both"/>
        <w:rPr>
          <w:rFonts w:ascii="Times New Roman" w:hAnsi="Times New Roman" w:cs="Times New Roman"/>
          <w:sz w:val="25"/>
          <w:szCs w:val="25"/>
        </w:rPr>
      </w:pPr>
      <w:hyperlink r:id="rId30" w:history="1">
        <w:r w:rsidR="0072229C" w:rsidRPr="006959D2">
          <w:rPr>
            <w:rStyle w:val="Hyperlink"/>
            <w:rFonts w:ascii="Times New Roman" w:hAnsi="Times New Roman" w:cs="Times New Roman"/>
            <w:sz w:val="25"/>
            <w:szCs w:val="25"/>
          </w:rPr>
          <w:t xml:space="preserve"> We to</w:t>
        </w:r>
        <w:r w:rsidR="0072229C" w:rsidRPr="006959D2">
          <w:rPr>
            <w:rStyle w:val="Hyperlink"/>
            <w:rFonts w:ascii="Times New Roman" w:hAnsi="Times New Roman" w:cs="Times New Roman"/>
            <w:sz w:val="25"/>
            <w:szCs w:val="25"/>
          </w:rPr>
          <w:t>o have at hand a situation where no panel, as is envisaged under the provisions of</w:t>
        </w:r>
      </w:hyperlink>
      <w:r w:rsidR="0072229C" w:rsidRPr="006959D2">
        <w:rPr>
          <w:rFonts w:ascii="Times New Roman" w:hAnsi="Times New Roman" w:cs="Times New Roman"/>
          <w:sz w:val="25"/>
          <w:szCs w:val="25"/>
        </w:rPr>
        <w:t xml:space="preserve"> </w:t>
      </w:r>
      <w:hyperlink r:id="rId31" w:history="1">
        <w:r w:rsidR="0072229C" w:rsidRPr="006959D2">
          <w:rPr>
            <w:rStyle w:val="Hyperlink"/>
            <w:rFonts w:ascii="Times New Roman" w:hAnsi="Times New Roman" w:cs="Times New Roman"/>
            <w:sz w:val="25"/>
            <w:szCs w:val="25"/>
          </w:rPr>
          <w:t>the regulations, ever came into existence. That being so, the question of determining the life</w:t>
        </w:r>
      </w:hyperlink>
      <w:r w:rsidR="0072229C" w:rsidRPr="006959D2">
        <w:rPr>
          <w:rFonts w:ascii="Times New Roman" w:hAnsi="Times New Roman" w:cs="Times New Roman"/>
          <w:sz w:val="25"/>
          <w:szCs w:val="25"/>
        </w:rPr>
        <w:t xml:space="preserve"> </w:t>
      </w:r>
      <w:hyperlink r:id="rId32" w:history="1">
        <w:r w:rsidR="0072229C" w:rsidRPr="006959D2">
          <w:rPr>
            <w:rStyle w:val="Hyperlink"/>
            <w:rFonts w:ascii="Times New Roman" w:hAnsi="Times New Roman" w:cs="Times New Roman"/>
            <w:sz w:val="25"/>
            <w:szCs w:val="25"/>
          </w:rPr>
          <w:t>of the panel by excluding the period during which there was an interim stay in accordance</w:t>
        </w:r>
      </w:hyperlink>
      <w:r w:rsidR="0072229C" w:rsidRPr="006959D2">
        <w:rPr>
          <w:rFonts w:ascii="Times New Roman" w:hAnsi="Times New Roman" w:cs="Times New Roman"/>
          <w:sz w:val="25"/>
          <w:szCs w:val="25"/>
        </w:rPr>
        <w:t xml:space="preserve"> </w:t>
      </w:r>
      <w:hyperlink r:id="rId33" w:history="1">
        <w:r w:rsidR="0072229C" w:rsidRPr="006959D2">
          <w:rPr>
            <w:rStyle w:val="Hyperlink"/>
            <w:rFonts w:ascii="Times New Roman" w:hAnsi="Times New Roman" w:cs="Times New Roman"/>
            <w:sz w:val="25"/>
            <w:szCs w:val="25"/>
          </w:rPr>
          <w:t>with the order of Dipankar Datta, J. in its order dated 12th March, 2009 did not arise. It</w:t>
        </w:r>
      </w:hyperlink>
      <w:r w:rsidR="0072229C" w:rsidRPr="006959D2">
        <w:rPr>
          <w:rFonts w:ascii="Times New Roman" w:hAnsi="Times New Roman" w:cs="Times New Roman"/>
          <w:sz w:val="25"/>
          <w:szCs w:val="25"/>
        </w:rPr>
        <w:t xml:space="preserve"> </w:t>
      </w:r>
      <w:hyperlink r:id="rId34" w:history="1">
        <w:r w:rsidR="0072229C" w:rsidRPr="006959D2">
          <w:rPr>
            <w:rStyle w:val="Hyperlink"/>
            <w:rFonts w:ascii="Times New Roman" w:hAnsi="Times New Roman" w:cs="Times New Roman"/>
            <w:sz w:val="25"/>
            <w:szCs w:val="25"/>
          </w:rPr>
          <w:t>follows that the claim made by respondent-Arvind Kumar Rai for appointment on the basis of</w:t>
        </w:r>
      </w:hyperlink>
      <w:r w:rsidR="0072229C" w:rsidRPr="006959D2">
        <w:rPr>
          <w:rFonts w:ascii="Times New Roman" w:hAnsi="Times New Roman" w:cs="Times New Roman"/>
          <w:sz w:val="25"/>
          <w:szCs w:val="25"/>
        </w:rPr>
        <w:t xml:space="preserve"> </w:t>
      </w:r>
      <w:hyperlink r:id="rId35" w:history="1">
        <w:r w:rsidR="0072229C" w:rsidRPr="006959D2">
          <w:rPr>
            <w:rStyle w:val="Hyperlink"/>
            <w:rFonts w:ascii="Times New Roman" w:hAnsi="Times New Roman" w:cs="Times New Roman"/>
            <w:sz w:val="25"/>
            <w:szCs w:val="25"/>
          </w:rPr>
          <w:t>such a non-existent panel was untenable as the panel itself was stil</w:t>
        </w:r>
        <w:r w:rsidR="0072229C" w:rsidRPr="006959D2">
          <w:rPr>
            <w:rStyle w:val="Hyperlink"/>
            <w:rFonts w:ascii="Times New Roman" w:hAnsi="Times New Roman" w:cs="Times New Roman"/>
            <w:sz w:val="25"/>
            <w:szCs w:val="25"/>
          </w:rPr>
          <w:t>l born. We need not burden</w:t>
        </w:r>
      </w:hyperlink>
      <w:r w:rsidR="0072229C" w:rsidRPr="006959D2">
        <w:rPr>
          <w:rFonts w:ascii="Times New Roman" w:hAnsi="Times New Roman" w:cs="Times New Roman"/>
          <w:sz w:val="25"/>
          <w:szCs w:val="25"/>
        </w:rPr>
        <w:t xml:space="preserve"> </w:t>
      </w:r>
      <w:hyperlink r:id="rId36" w:history="1">
        <w:r w:rsidR="0072229C" w:rsidRPr="006959D2">
          <w:rPr>
            <w:rStyle w:val="Hyperlink"/>
            <w:rFonts w:ascii="Times New Roman" w:hAnsi="Times New Roman" w:cs="Times New Roman"/>
            <w:sz w:val="25"/>
            <w:szCs w:val="25"/>
          </w:rPr>
          <w:t>this judgment by referring to the decisions of this Court in which this Court has repeatedly</w:t>
        </w:r>
      </w:hyperlink>
      <w:r w:rsidR="0072229C" w:rsidRPr="006959D2">
        <w:rPr>
          <w:rFonts w:ascii="Times New Roman" w:hAnsi="Times New Roman" w:cs="Times New Roman"/>
          <w:sz w:val="25"/>
          <w:szCs w:val="25"/>
        </w:rPr>
        <w:t xml:space="preserve"> </w:t>
      </w:r>
      <w:hyperlink r:id="rId37" w:history="1">
        <w:r w:rsidR="0072229C" w:rsidRPr="006959D2">
          <w:rPr>
            <w:rStyle w:val="Hyperlink"/>
            <w:rFonts w:ascii="Times New Roman" w:hAnsi="Times New Roman" w:cs="Times New Roman"/>
            <w:sz w:val="25"/>
            <w:szCs w:val="25"/>
          </w:rPr>
          <w:t xml:space="preserve">held that the preparation of a </w:t>
        </w:r>
        <w:r w:rsidR="0072229C" w:rsidRPr="006959D2">
          <w:rPr>
            <w:rStyle w:val="Hyperlink"/>
            <w:rFonts w:ascii="Times New Roman" w:hAnsi="Times New Roman" w:cs="Times New Roman"/>
            <w:sz w:val="25"/>
            <w:szCs w:val="25"/>
          </w:rPr>
          <w:t>select list or a panel does not by itself entitle the candidate</w:t>
        </w:r>
      </w:hyperlink>
      <w:r w:rsidR="0072229C" w:rsidRPr="006959D2">
        <w:rPr>
          <w:rFonts w:ascii="Times New Roman" w:hAnsi="Times New Roman" w:cs="Times New Roman"/>
          <w:sz w:val="25"/>
          <w:szCs w:val="25"/>
        </w:rPr>
        <w:t xml:space="preserve"> </w:t>
      </w:r>
      <w:hyperlink r:id="rId38" w:history="1">
        <w:r w:rsidR="0072229C" w:rsidRPr="006959D2">
          <w:rPr>
            <w:rStyle w:val="Hyperlink"/>
            <w:rFonts w:ascii="Times New Roman" w:hAnsi="Times New Roman" w:cs="Times New Roman"/>
            <w:sz w:val="25"/>
            <w:szCs w:val="25"/>
          </w:rPr>
          <w:t>whose name figures in such a list/panel to seek an appointment or claim a mandamus. No</w:t>
        </w:r>
      </w:hyperlink>
      <w:r w:rsidR="0072229C" w:rsidRPr="006959D2">
        <w:rPr>
          <w:rFonts w:ascii="Times New Roman" w:hAnsi="Times New Roman" w:cs="Times New Roman"/>
          <w:sz w:val="25"/>
          <w:szCs w:val="25"/>
        </w:rPr>
        <w:t xml:space="preserve"> </w:t>
      </w:r>
      <w:hyperlink r:id="rId39" w:history="1">
        <w:r w:rsidR="0072229C" w:rsidRPr="006959D2">
          <w:rPr>
            <w:rStyle w:val="Hyperlink"/>
            <w:rFonts w:ascii="Times New Roman" w:hAnsi="Times New Roman" w:cs="Times New Roman"/>
            <w:sz w:val="25"/>
            <w:szCs w:val="25"/>
          </w:rPr>
          <w:t>veste</w:t>
        </w:r>
        <w:r w:rsidR="0072229C" w:rsidRPr="006959D2">
          <w:rPr>
            <w:rStyle w:val="Hyperlink"/>
            <w:rFonts w:ascii="Times New Roman" w:hAnsi="Times New Roman" w:cs="Times New Roman"/>
            <w:sz w:val="25"/>
            <w:szCs w:val="25"/>
          </w:rPr>
          <w:t>d right is created by the inclusion of the name of a candidate in any such panel which</w:t>
        </w:r>
      </w:hyperlink>
      <w:r w:rsidR="0072229C" w:rsidRPr="006959D2">
        <w:rPr>
          <w:rFonts w:ascii="Times New Roman" w:hAnsi="Times New Roman" w:cs="Times New Roman"/>
          <w:sz w:val="25"/>
          <w:szCs w:val="25"/>
        </w:rPr>
        <w:t xml:space="preserve"> </w:t>
      </w:r>
      <w:hyperlink r:id="rId40" w:history="1">
        <w:r w:rsidR="0072229C" w:rsidRPr="006959D2">
          <w:rPr>
            <w:rStyle w:val="Hyperlink"/>
            <w:rFonts w:ascii="Times New Roman" w:hAnsi="Times New Roman" w:cs="Times New Roman"/>
            <w:sz w:val="25"/>
            <w:szCs w:val="25"/>
          </w:rPr>
          <w:t>can for good and valid reasons be scrapped by the competent authority alongwith the entire</w:t>
        </w:r>
      </w:hyperlink>
      <w:r w:rsidR="0072229C" w:rsidRPr="006959D2">
        <w:rPr>
          <w:rFonts w:ascii="Times New Roman" w:hAnsi="Times New Roman" w:cs="Times New Roman"/>
          <w:sz w:val="25"/>
          <w:szCs w:val="25"/>
        </w:rPr>
        <w:t xml:space="preserve"> </w:t>
      </w:r>
      <w:hyperlink r:id="rId41" w:history="1">
        <w:r w:rsidR="0072229C" w:rsidRPr="006959D2">
          <w:rPr>
            <w:rStyle w:val="Hyperlink"/>
            <w:rFonts w:ascii="Times New Roman" w:hAnsi="Times New Roman" w:cs="Times New Roman"/>
            <w:sz w:val="25"/>
            <w:szCs w:val="25"/>
          </w:rPr>
          <w:t>process that culminated in the preparation of such a panel.</w:t>
        </w:r>
      </w:hyperlink>
    </w:p>
    <w:p w:rsidR="00820D12" w:rsidRPr="006959D2" w:rsidRDefault="00820D12">
      <w:pPr>
        <w:pStyle w:val="Bodytext0"/>
        <w:numPr>
          <w:ilvl w:val="0"/>
          <w:numId w:val="1"/>
        </w:numPr>
        <w:shd w:val="clear" w:color="auto" w:fill="auto"/>
        <w:spacing w:before="0" w:line="293" w:lineRule="exact"/>
        <w:ind w:left="20" w:right="280"/>
        <w:jc w:val="both"/>
        <w:rPr>
          <w:rFonts w:ascii="Times New Roman" w:hAnsi="Times New Roman" w:cs="Times New Roman"/>
          <w:sz w:val="25"/>
          <w:szCs w:val="25"/>
        </w:rPr>
      </w:pPr>
      <w:hyperlink r:id="rId42" w:history="1">
        <w:r w:rsidR="0072229C" w:rsidRPr="006959D2">
          <w:rPr>
            <w:rStyle w:val="Hyperlink"/>
            <w:rFonts w:ascii="Times New Roman" w:hAnsi="Times New Roman" w:cs="Times New Roman"/>
            <w:sz w:val="25"/>
            <w:szCs w:val="25"/>
          </w:rPr>
          <w:t xml:space="preserve"> In Shankarsan Dash v. Union of India, (1991) 3 SCC 47 a Constitution Bench of this</w:t>
        </w:r>
      </w:hyperlink>
      <w:r w:rsidR="0072229C" w:rsidRPr="006959D2">
        <w:rPr>
          <w:rFonts w:ascii="Times New Roman" w:hAnsi="Times New Roman" w:cs="Times New Roman"/>
          <w:sz w:val="25"/>
          <w:szCs w:val="25"/>
        </w:rPr>
        <w:t xml:space="preserve"> </w:t>
      </w:r>
      <w:hyperlink r:id="rId43" w:history="1">
        <w:r w:rsidR="0072229C" w:rsidRPr="006959D2">
          <w:rPr>
            <w:rStyle w:val="Hyperlink"/>
            <w:rFonts w:ascii="Times New Roman" w:hAnsi="Times New Roman" w:cs="Times New Roman"/>
            <w:sz w:val="25"/>
            <w:szCs w:val="25"/>
          </w:rPr>
          <w:t>Court was examining whether candidates declared successful in a selection process acquire</w:t>
        </w:r>
      </w:hyperlink>
      <w:r w:rsidR="0072229C" w:rsidRPr="006959D2">
        <w:rPr>
          <w:rFonts w:ascii="Times New Roman" w:hAnsi="Times New Roman" w:cs="Times New Roman"/>
          <w:sz w:val="25"/>
          <w:szCs w:val="25"/>
        </w:rPr>
        <w:t xml:space="preserve"> </w:t>
      </w:r>
      <w:hyperlink r:id="rId44" w:history="1">
        <w:r w:rsidR="0072229C" w:rsidRPr="006959D2">
          <w:rPr>
            <w:rStyle w:val="Hyperlink"/>
            <w:rFonts w:ascii="Times New Roman" w:hAnsi="Times New Roman" w:cs="Times New Roman"/>
            <w:sz w:val="25"/>
            <w:szCs w:val="25"/>
          </w:rPr>
          <w:t>an indefeasible right to get appointed against available vacancies. The contention that they do</w:t>
        </w:r>
      </w:hyperlink>
      <w:r w:rsidR="0072229C" w:rsidRPr="006959D2">
        <w:rPr>
          <w:rFonts w:ascii="Times New Roman" w:hAnsi="Times New Roman" w:cs="Times New Roman"/>
          <w:sz w:val="25"/>
          <w:szCs w:val="25"/>
        </w:rPr>
        <w:t xml:space="preserve"> </w:t>
      </w:r>
      <w:hyperlink r:id="rId45" w:history="1">
        <w:r w:rsidR="0072229C" w:rsidRPr="006959D2">
          <w:rPr>
            <w:rStyle w:val="Hyperlink"/>
            <w:rFonts w:ascii="Times New Roman" w:hAnsi="Times New Roman" w:cs="Times New Roman"/>
            <w:sz w:val="25"/>
            <w:szCs w:val="25"/>
          </w:rPr>
          <w:t>acquire such a right was repelled in the following words:</w:t>
        </w:r>
      </w:hyperlink>
    </w:p>
    <w:p w:rsidR="00820D12" w:rsidRPr="006959D2" w:rsidRDefault="00820D12">
      <w:pPr>
        <w:pStyle w:val="Bodytext0"/>
        <w:shd w:val="clear" w:color="auto" w:fill="auto"/>
        <w:spacing w:before="0" w:after="240" w:line="293" w:lineRule="exact"/>
        <w:ind w:left="740" w:right="40"/>
        <w:jc w:val="both"/>
        <w:rPr>
          <w:rFonts w:ascii="Times New Roman" w:hAnsi="Times New Roman" w:cs="Times New Roman"/>
          <w:sz w:val="25"/>
          <w:szCs w:val="25"/>
        </w:rPr>
      </w:pPr>
      <w:hyperlink r:id="rId46" w:history="1">
        <w:r w:rsidR="0072229C" w:rsidRPr="006959D2">
          <w:rPr>
            <w:rStyle w:val="Hyperlink"/>
            <w:rFonts w:ascii="Times New Roman" w:hAnsi="Times New Roman" w:cs="Times New Roman"/>
            <w:sz w:val="25"/>
            <w:szCs w:val="25"/>
          </w:rPr>
          <w:t>“7. It is not correct to say that if a number of vacancies are notified for appointment</w:t>
        </w:r>
      </w:hyperlink>
      <w:r w:rsidR="0072229C" w:rsidRPr="006959D2">
        <w:rPr>
          <w:rFonts w:ascii="Times New Roman" w:hAnsi="Times New Roman" w:cs="Times New Roman"/>
          <w:sz w:val="25"/>
          <w:szCs w:val="25"/>
        </w:rPr>
        <w:t xml:space="preserve"> </w:t>
      </w:r>
      <w:hyperlink r:id="rId47" w:history="1">
        <w:r w:rsidR="0072229C" w:rsidRPr="006959D2">
          <w:rPr>
            <w:rStyle w:val="Hyperlink"/>
            <w:rFonts w:ascii="Times New Roman" w:hAnsi="Times New Roman" w:cs="Times New Roman"/>
            <w:sz w:val="25"/>
            <w:szCs w:val="25"/>
          </w:rPr>
          <w:t>and adequate number of candidates are found fit, the successful candidates acquire an</w:t>
        </w:r>
      </w:hyperlink>
      <w:r w:rsidR="0072229C" w:rsidRPr="006959D2">
        <w:rPr>
          <w:rFonts w:ascii="Times New Roman" w:hAnsi="Times New Roman" w:cs="Times New Roman"/>
          <w:sz w:val="25"/>
          <w:szCs w:val="25"/>
        </w:rPr>
        <w:t xml:space="preserve"> </w:t>
      </w:r>
      <w:hyperlink r:id="rId48" w:history="1">
        <w:r w:rsidR="0072229C" w:rsidRPr="006959D2">
          <w:rPr>
            <w:rStyle w:val="Hyperlink"/>
            <w:rFonts w:ascii="Times New Roman" w:hAnsi="Times New Roman" w:cs="Times New Roman"/>
            <w:sz w:val="25"/>
            <w:szCs w:val="25"/>
          </w:rPr>
          <w:t>indefeasible right to be appointed which cannot be legitimately denied. Ordinarily the</w:t>
        </w:r>
      </w:hyperlink>
      <w:r w:rsidR="0072229C" w:rsidRPr="006959D2">
        <w:rPr>
          <w:rFonts w:ascii="Times New Roman" w:hAnsi="Times New Roman" w:cs="Times New Roman"/>
          <w:sz w:val="25"/>
          <w:szCs w:val="25"/>
        </w:rPr>
        <w:t xml:space="preserve"> </w:t>
      </w:r>
      <w:hyperlink r:id="rId49" w:history="1">
        <w:r w:rsidR="0072229C" w:rsidRPr="006959D2">
          <w:rPr>
            <w:rStyle w:val="Hyperlink"/>
            <w:rFonts w:ascii="Times New Roman" w:hAnsi="Times New Roman" w:cs="Times New Roman"/>
            <w:sz w:val="25"/>
            <w:szCs w:val="25"/>
          </w:rPr>
          <w:t>notification merely amounts to an invitation to qualified candidates to apply for</w:t>
        </w:r>
      </w:hyperlink>
      <w:r w:rsidR="0072229C" w:rsidRPr="006959D2">
        <w:rPr>
          <w:rFonts w:ascii="Times New Roman" w:hAnsi="Times New Roman" w:cs="Times New Roman"/>
          <w:sz w:val="25"/>
          <w:szCs w:val="25"/>
        </w:rPr>
        <w:t xml:space="preserve"> </w:t>
      </w:r>
      <w:hyperlink r:id="rId50" w:history="1">
        <w:r w:rsidR="0072229C" w:rsidRPr="006959D2">
          <w:rPr>
            <w:rStyle w:val="Hyperlink"/>
            <w:rFonts w:ascii="Times New Roman" w:hAnsi="Times New Roman" w:cs="Times New Roman"/>
            <w:sz w:val="25"/>
            <w:szCs w:val="25"/>
          </w:rPr>
          <w:t>recruitment and on their selection they do not acquire any right to the post.</w:t>
        </w:r>
        <w:r w:rsidR="0072229C" w:rsidRPr="006959D2">
          <w:rPr>
            <w:rStyle w:val="Hyperlink"/>
            <w:rFonts w:ascii="Times New Roman" w:hAnsi="Times New Roman" w:cs="Times New Roman"/>
            <w:sz w:val="25"/>
            <w:szCs w:val="25"/>
          </w:rPr>
          <w:t xml:space="preserve"> Unless the</w:t>
        </w:r>
      </w:hyperlink>
      <w:r w:rsidR="0072229C" w:rsidRPr="006959D2">
        <w:rPr>
          <w:rFonts w:ascii="Times New Roman" w:hAnsi="Times New Roman" w:cs="Times New Roman"/>
          <w:sz w:val="25"/>
          <w:szCs w:val="25"/>
        </w:rPr>
        <w:t xml:space="preserve"> </w:t>
      </w:r>
      <w:hyperlink r:id="rId51" w:history="1">
        <w:r w:rsidR="0072229C" w:rsidRPr="006959D2">
          <w:rPr>
            <w:rStyle w:val="Hyperlink"/>
            <w:rFonts w:ascii="Times New Roman" w:hAnsi="Times New Roman" w:cs="Times New Roman"/>
            <w:sz w:val="25"/>
            <w:szCs w:val="25"/>
          </w:rPr>
          <w:t>relevant recruitment rules so indicate, the State is under no legal duty to fill up all or</w:t>
        </w:r>
      </w:hyperlink>
      <w:r w:rsidR="0072229C" w:rsidRPr="006959D2">
        <w:rPr>
          <w:rFonts w:ascii="Times New Roman" w:hAnsi="Times New Roman" w:cs="Times New Roman"/>
          <w:sz w:val="25"/>
          <w:szCs w:val="25"/>
        </w:rPr>
        <w:t xml:space="preserve"> </w:t>
      </w:r>
      <w:hyperlink r:id="rId52" w:history="1">
        <w:r w:rsidR="0072229C" w:rsidRPr="006959D2">
          <w:rPr>
            <w:rStyle w:val="Hyperlink"/>
            <w:rFonts w:ascii="Times New Roman" w:hAnsi="Times New Roman" w:cs="Times New Roman"/>
            <w:sz w:val="25"/>
            <w:szCs w:val="25"/>
          </w:rPr>
          <w:t xml:space="preserve">any of the vacancies. However, it does not mean that </w:t>
        </w:r>
        <w:r w:rsidR="0072229C" w:rsidRPr="006959D2">
          <w:rPr>
            <w:rStyle w:val="Hyperlink"/>
            <w:rFonts w:ascii="Times New Roman" w:hAnsi="Times New Roman" w:cs="Times New Roman"/>
            <w:sz w:val="25"/>
            <w:szCs w:val="25"/>
          </w:rPr>
          <w:t>the State has the licence of</w:t>
        </w:r>
      </w:hyperlink>
      <w:r w:rsidR="0072229C" w:rsidRPr="006959D2">
        <w:rPr>
          <w:rFonts w:ascii="Times New Roman" w:hAnsi="Times New Roman" w:cs="Times New Roman"/>
          <w:sz w:val="25"/>
          <w:szCs w:val="25"/>
        </w:rPr>
        <w:t xml:space="preserve"> </w:t>
      </w:r>
      <w:hyperlink r:id="rId53" w:history="1">
        <w:r w:rsidR="0072229C" w:rsidRPr="006959D2">
          <w:rPr>
            <w:rStyle w:val="Hyperlink"/>
            <w:rFonts w:ascii="Times New Roman" w:hAnsi="Times New Roman" w:cs="Times New Roman"/>
            <w:sz w:val="25"/>
            <w:szCs w:val="25"/>
          </w:rPr>
          <w:t>acting in an arbitrary manner. The decision not to fill up the vacancies has to be taken</w:t>
        </w:r>
      </w:hyperlink>
      <w:r w:rsidR="0072229C" w:rsidRPr="006959D2">
        <w:rPr>
          <w:rFonts w:ascii="Times New Roman" w:hAnsi="Times New Roman" w:cs="Times New Roman"/>
          <w:sz w:val="25"/>
          <w:szCs w:val="25"/>
        </w:rPr>
        <w:t xml:space="preserve"> </w:t>
      </w:r>
      <w:hyperlink r:id="rId54" w:history="1">
        <w:r w:rsidR="0072229C" w:rsidRPr="006959D2">
          <w:rPr>
            <w:rStyle w:val="Hyperlink"/>
            <w:rFonts w:ascii="Times New Roman" w:hAnsi="Times New Roman" w:cs="Times New Roman"/>
            <w:sz w:val="25"/>
            <w:szCs w:val="25"/>
          </w:rPr>
          <w:t>bona fide for appropriate reasons. And</w:t>
        </w:r>
        <w:r w:rsidR="0072229C" w:rsidRPr="006959D2">
          <w:rPr>
            <w:rStyle w:val="Hyperlink"/>
            <w:rFonts w:ascii="Times New Roman" w:hAnsi="Times New Roman" w:cs="Times New Roman"/>
            <w:sz w:val="25"/>
            <w:szCs w:val="25"/>
          </w:rPr>
          <w:t xml:space="preserve"> if the vacancies or any of them are filled up,</w:t>
        </w:r>
      </w:hyperlink>
      <w:r w:rsidR="0072229C" w:rsidRPr="006959D2">
        <w:rPr>
          <w:rFonts w:ascii="Times New Roman" w:hAnsi="Times New Roman" w:cs="Times New Roman"/>
          <w:sz w:val="25"/>
          <w:szCs w:val="25"/>
        </w:rPr>
        <w:t xml:space="preserve"> </w:t>
      </w:r>
      <w:hyperlink r:id="rId55" w:history="1">
        <w:r w:rsidR="0072229C" w:rsidRPr="006959D2">
          <w:rPr>
            <w:rStyle w:val="Hyperlink"/>
            <w:rFonts w:ascii="Times New Roman" w:hAnsi="Times New Roman" w:cs="Times New Roman"/>
            <w:sz w:val="25"/>
            <w:szCs w:val="25"/>
          </w:rPr>
          <w:t>the State is bound to respect the comparative merit of the candidates, as reflected at</w:t>
        </w:r>
      </w:hyperlink>
      <w:r w:rsidR="0072229C" w:rsidRPr="006959D2">
        <w:rPr>
          <w:rFonts w:ascii="Times New Roman" w:hAnsi="Times New Roman" w:cs="Times New Roman"/>
          <w:sz w:val="25"/>
          <w:szCs w:val="25"/>
        </w:rPr>
        <w:t xml:space="preserve"> </w:t>
      </w:r>
      <w:hyperlink r:id="rId56" w:history="1">
        <w:r w:rsidR="0072229C" w:rsidRPr="006959D2">
          <w:rPr>
            <w:rStyle w:val="Hyperlink"/>
            <w:rFonts w:ascii="Times New Roman" w:hAnsi="Times New Roman" w:cs="Times New Roman"/>
            <w:sz w:val="25"/>
            <w:szCs w:val="25"/>
          </w:rPr>
          <w:t>the recruitment test,</w:t>
        </w:r>
        <w:r w:rsidR="0072229C" w:rsidRPr="006959D2">
          <w:rPr>
            <w:rStyle w:val="Hyperlink"/>
            <w:rFonts w:ascii="Times New Roman" w:hAnsi="Times New Roman" w:cs="Times New Roman"/>
            <w:sz w:val="25"/>
            <w:szCs w:val="25"/>
          </w:rPr>
          <w:t xml:space="preserve"> and no discrimination can be permitted.” (emphasis supplied)</w:t>
        </w:r>
      </w:hyperlink>
    </w:p>
    <w:p w:rsidR="00820D12" w:rsidRPr="006959D2" w:rsidRDefault="00820D12">
      <w:pPr>
        <w:pStyle w:val="Bodytext0"/>
        <w:numPr>
          <w:ilvl w:val="0"/>
          <w:numId w:val="1"/>
        </w:numPr>
        <w:shd w:val="clear" w:color="auto" w:fill="auto"/>
        <w:spacing w:before="0" w:after="236" w:line="293" w:lineRule="exact"/>
        <w:ind w:left="20" w:right="40"/>
        <w:jc w:val="both"/>
        <w:rPr>
          <w:rFonts w:ascii="Times New Roman" w:hAnsi="Times New Roman" w:cs="Times New Roman"/>
          <w:sz w:val="25"/>
          <w:szCs w:val="25"/>
        </w:rPr>
      </w:pPr>
      <w:hyperlink r:id="rId57" w:history="1">
        <w:r w:rsidR="0072229C" w:rsidRPr="006959D2">
          <w:rPr>
            <w:rStyle w:val="Hyperlink"/>
            <w:rFonts w:ascii="Times New Roman" w:hAnsi="Times New Roman" w:cs="Times New Roman"/>
            <w:sz w:val="25"/>
            <w:szCs w:val="25"/>
          </w:rPr>
          <w:t xml:space="preserve"> Above decision has been followed in a long line of subsequent decisions of this Court</w:t>
        </w:r>
      </w:hyperlink>
      <w:r w:rsidR="0072229C" w:rsidRPr="006959D2">
        <w:rPr>
          <w:rFonts w:ascii="Times New Roman" w:hAnsi="Times New Roman" w:cs="Times New Roman"/>
          <w:sz w:val="25"/>
          <w:szCs w:val="25"/>
        </w:rPr>
        <w:t xml:space="preserve"> </w:t>
      </w:r>
      <w:hyperlink r:id="rId58" w:history="1">
        <w:r w:rsidR="0072229C" w:rsidRPr="006959D2">
          <w:rPr>
            <w:rStyle w:val="Hyperlink"/>
            <w:rFonts w:ascii="Times New Roman" w:hAnsi="Times New Roman" w:cs="Times New Roman"/>
            <w:sz w:val="25"/>
            <w:szCs w:val="25"/>
          </w:rPr>
          <w:t>includi</w:t>
        </w:r>
        <w:r w:rsidR="0072229C" w:rsidRPr="006959D2">
          <w:rPr>
            <w:rStyle w:val="Hyperlink"/>
            <w:rFonts w:ascii="Times New Roman" w:hAnsi="Times New Roman" w:cs="Times New Roman"/>
            <w:sz w:val="25"/>
            <w:szCs w:val="25"/>
          </w:rPr>
          <w:t>ng those rendered in Punjab State Electricity Board v. Malkiat Singh, (2005) 9 SCC</w:t>
        </w:r>
      </w:hyperlink>
      <w:r w:rsidR="0072229C" w:rsidRPr="006959D2">
        <w:rPr>
          <w:rFonts w:ascii="Times New Roman" w:hAnsi="Times New Roman" w:cs="Times New Roman"/>
          <w:sz w:val="25"/>
          <w:szCs w:val="25"/>
        </w:rPr>
        <w:t xml:space="preserve"> </w:t>
      </w:r>
      <w:hyperlink r:id="rId59" w:history="1">
        <w:r w:rsidR="0072229C" w:rsidRPr="006959D2">
          <w:rPr>
            <w:rStyle w:val="Hyperlink"/>
            <w:rFonts w:ascii="Times New Roman" w:hAnsi="Times New Roman" w:cs="Times New Roman"/>
            <w:sz w:val="25"/>
            <w:szCs w:val="25"/>
          </w:rPr>
          <w:t>22;State of Bihar &amp; Ors. v. Secretariat Assistant Successful Examinees Union &amp; Ors., (1994)</w:t>
        </w:r>
      </w:hyperlink>
      <w:r w:rsidR="0072229C" w:rsidRPr="006959D2">
        <w:rPr>
          <w:rFonts w:ascii="Times New Roman" w:hAnsi="Times New Roman" w:cs="Times New Roman"/>
          <w:sz w:val="25"/>
          <w:szCs w:val="25"/>
        </w:rPr>
        <w:t xml:space="preserve"> </w:t>
      </w:r>
      <w:hyperlink r:id="rId60" w:history="1">
        <w:r w:rsidR="0072229C" w:rsidRPr="006959D2">
          <w:rPr>
            <w:rStyle w:val="Hyperlink"/>
            <w:rFonts w:ascii="Times New Roman" w:hAnsi="Times New Roman" w:cs="Times New Roman"/>
            <w:sz w:val="25"/>
            <w:szCs w:val="25"/>
          </w:rPr>
          <w:t>1 SCC 126; Director, SCTI for Medicine Science and Technology v. M. Pushkaran, (2007)</w:t>
        </w:r>
      </w:hyperlink>
      <w:r w:rsidR="0072229C" w:rsidRPr="006959D2">
        <w:rPr>
          <w:rFonts w:ascii="Times New Roman" w:hAnsi="Times New Roman" w:cs="Times New Roman"/>
          <w:sz w:val="25"/>
          <w:szCs w:val="25"/>
        </w:rPr>
        <w:t xml:space="preserve"> </w:t>
      </w:r>
      <w:hyperlink r:id="rId61" w:history="1">
        <w:r w:rsidR="0072229C" w:rsidRPr="006959D2">
          <w:rPr>
            <w:rStyle w:val="Hyperlink"/>
            <w:rFonts w:ascii="Times New Roman" w:hAnsi="Times New Roman" w:cs="Times New Roman"/>
            <w:sz w:val="25"/>
            <w:szCs w:val="25"/>
          </w:rPr>
          <w:t>12 SCC 465;Union of India v. Kali Dass Batish, (2006) 1 SCC 779 [which is a three Judge</w:t>
        </w:r>
      </w:hyperlink>
      <w:r w:rsidR="0072229C" w:rsidRPr="006959D2">
        <w:rPr>
          <w:rFonts w:ascii="Times New Roman" w:hAnsi="Times New Roman" w:cs="Times New Roman"/>
          <w:sz w:val="25"/>
          <w:szCs w:val="25"/>
        </w:rPr>
        <w:t xml:space="preserve"> </w:t>
      </w:r>
      <w:hyperlink r:id="rId62" w:history="1">
        <w:r w:rsidR="0072229C" w:rsidRPr="006959D2">
          <w:rPr>
            <w:rStyle w:val="Hyperlink"/>
            <w:rFonts w:ascii="Times New Roman" w:hAnsi="Times New Roman" w:cs="Times New Roman"/>
            <w:sz w:val="25"/>
            <w:szCs w:val="25"/>
          </w:rPr>
          <w:t>Bench decision].</w:t>
        </w:r>
      </w:hyperlink>
    </w:p>
    <w:p w:rsidR="00820D12" w:rsidRPr="006959D2" w:rsidRDefault="00820D12">
      <w:pPr>
        <w:pStyle w:val="Bodytext0"/>
        <w:numPr>
          <w:ilvl w:val="0"/>
          <w:numId w:val="1"/>
        </w:numPr>
        <w:shd w:val="clear" w:color="auto" w:fill="auto"/>
        <w:spacing w:before="0" w:after="244" w:line="298" w:lineRule="exact"/>
        <w:ind w:left="20" w:right="40"/>
        <w:jc w:val="both"/>
        <w:rPr>
          <w:rFonts w:ascii="Times New Roman" w:hAnsi="Times New Roman" w:cs="Times New Roman"/>
          <w:sz w:val="25"/>
          <w:szCs w:val="25"/>
        </w:rPr>
      </w:pPr>
      <w:hyperlink r:id="rId63" w:history="1">
        <w:r w:rsidR="0072229C" w:rsidRPr="006959D2">
          <w:rPr>
            <w:rStyle w:val="Hyperlink"/>
            <w:rFonts w:ascii="Times New Roman" w:hAnsi="Times New Roman" w:cs="Times New Roman"/>
            <w:sz w:val="25"/>
            <w:szCs w:val="25"/>
          </w:rPr>
          <w:t xml:space="preserve"> In Rakhi Ray &amp; Ors. v. The High Court of Delhi, (2010) 2 SCC 637, a three-Judge Bench</w:t>
        </w:r>
      </w:hyperlink>
      <w:r w:rsidR="0072229C" w:rsidRPr="006959D2">
        <w:rPr>
          <w:rFonts w:ascii="Times New Roman" w:hAnsi="Times New Roman" w:cs="Times New Roman"/>
          <w:sz w:val="25"/>
          <w:szCs w:val="25"/>
        </w:rPr>
        <w:t xml:space="preserve"> </w:t>
      </w:r>
      <w:hyperlink r:id="rId64" w:history="1">
        <w:r w:rsidR="0072229C" w:rsidRPr="006959D2">
          <w:rPr>
            <w:rStyle w:val="Hyperlink"/>
            <w:rFonts w:ascii="Times New Roman" w:hAnsi="Times New Roman" w:cs="Times New Roman"/>
            <w:sz w:val="25"/>
            <w:szCs w:val="25"/>
          </w:rPr>
          <w:t>of this Court h</w:t>
        </w:r>
        <w:r w:rsidR="0072229C" w:rsidRPr="006959D2">
          <w:rPr>
            <w:rStyle w:val="Hyperlink"/>
            <w:rFonts w:ascii="Times New Roman" w:hAnsi="Times New Roman" w:cs="Times New Roman"/>
            <w:sz w:val="25"/>
            <w:szCs w:val="25"/>
          </w:rPr>
          <w:t>eld:</w:t>
        </w:r>
      </w:hyperlink>
    </w:p>
    <w:p w:rsidR="00820D12" w:rsidRPr="006959D2" w:rsidRDefault="00820D12">
      <w:pPr>
        <w:pStyle w:val="Bodytext0"/>
        <w:shd w:val="clear" w:color="auto" w:fill="auto"/>
        <w:spacing w:before="0" w:after="244" w:line="293" w:lineRule="exact"/>
        <w:ind w:left="740" w:right="40" w:firstLine="440"/>
        <w:jc w:val="both"/>
        <w:rPr>
          <w:rFonts w:ascii="Times New Roman" w:hAnsi="Times New Roman" w:cs="Times New Roman"/>
          <w:sz w:val="25"/>
          <w:szCs w:val="25"/>
        </w:rPr>
      </w:pPr>
      <w:hyperlink r:id="rId65" w:history="1">
        <w:r w:rsidR="0072229C" w:rsidRPr="006959D2">
          <w:rPr>
            <w:rStyle w:val="Hyperlink"/>
            <w:rFonts w:ascii="Times New Roman" w:hAnsi="Times New Roman" w:cs="Times New Roman"/>
            <w:sz w:val="25"/>
            <w:szCs w:val="25"/>
          </w:rPr>
          <w:t>A person whose name appears in the select list does not acquire any indefeasible</w:t>
        </w:r>
      </w:hyperlink>
      <w:r w:rsidR="0072229C" w:rsidRPr="006959D2">
        <w:rPr>
          <w:rFonts w:ascii="Times New Roman" w:hAnsi="Times New Roman" w:cs="Times New Roman"/>
          <w:sz w:val="25"/>
          <w:szCs w:val="25"/>
        </w:rPr>
        <w:t xml:space="preserve"> </w:t>
      </w:r>
      <w:hyperlink r:id="rId66" w:history="1">
        <w:r w:rsidR="0072229C" w:rsidRPr="006959D2">
          <w:rPr>
            <w:rStyle w:val="Hyperlink"/>
            <w:rFonts w:ascii="Times New Roman" w:hAnsi="Times New Roman" w:cs="Times New Roman"/>
            <w:sz w:val="25"/>
            <w:szCs w:val="25"/>
          </w:rPr>
          <w:t xml:space="preserve">right of appointment. Empanelment at the best is a condition of </w:t>
        </w:r>
        <w:r w:rsidR="0072229C" w:rsidRPr="006959D2">
          <w:rPr>
            <w:rStyle w:val="Hyperlink"/>
            <w:rFonts w:ascii="Times New Roman" w:hAnsi="Times New Roman" w:cs="Times New Roman"/>
            <w:sz w:val="25"/>
            <w:szCs w:val="25"/>
          </w:rPr>
          <w:t>eligibility for purpose</w:t>
        </w:r>
      </w:hyperlink>
      <w:r w:rsidR="0072229C" w:rsidRPr="006959D2">
        <w:rPr>
          <w:rFonts w:ascii="Times New Roman" w:hAnsi="Times New Roman" w:cs="Times New Roman"/>
          <w:sz w:val="25"/>
          <w:szCs w:val="25"/>
        </w:rPr>
        <w:t xml:space="preserve"> </w:t>
      </w:r>
      <w:hyperlink r:id="rId67" w:history="1">
        <w:r w:rsidR="0072229C" w:rsidRPr="006959D2">
          <w:rPr>
            <w:rStyle w:val="Hyperlink"/>
            <w:rFonts w:ascii="Times New Roman" w:hAnsi="Times New Roman" w:cs="Times New Roman"/>
            <w:sz w:val="25"/>
            <w:szCs w:val="25"/>
          </w:rPr>
          <w:t>of appointment and by itself does not amount to selection or create a vested right to be</w:t>
        </w:r>
      </w:hyperlink>
      <w:r w:rsidR="0072229C" w:rsidRPr="006959D2">
        <w:rPr>
          <w:rFonts w:ascii="Times New Roman" w:hAnsi="Times New Roman" w:cs="Times New Roman"/>
          <w:sz w:val="25"/>
          <w:szCs w:val="25"/>
        </w:rPr>
        <w:t xml:space="preserve"> </w:t>
      </w:r>
      <w:hyperlink r:id="rId68" w:history="1">
        <w:r w:rsidR="0072229C" w:rsidRPr="006959D2">
          <w:rPr>
            <w:rStyle w:val="Hyperlink"/>
            <w:rFonts w:ascii="Times New Roman" w:hAnsi="Times New Roman" w:cs="Times New Roman"/>
            <w:sz w:val="25"/>
            <w:szCs w:val="25"/>
          </w:rPr>
          <w:t xml:space="preserve">appointed. The vacancies have to be filled </w:t>
        </w:r>
        <w:r w:rsidR="0072229C" w:rsidRPr="006959D2">
          <w:rPr>
            <w:rStyle w:val="Hyperlink"/>
            <w:rFonts w:ascii="Times New Roman" w:hAnsi="Times New Roman" w:cs="Times New Roman"/>
            <w:sz w:val="25"/>
            <w:szCs w:val="25"/>
          </w:rPr>
          <w:t>up as per the statutory rules and in</w:t>
        </w:r>
      </w:hyperlink>
      <w:r w:rsidR="0072229C" w:rsidRPr="006959D2">
        <w:rPr>
          <w:rFonts w:ascii="Times New Roman" w:hAnsi="Times New Roman" w:cs="Times New Roman"/>
          <w:sz w:val="25"/>
          <w:szCs w:val="25"/>
        </w:rPr>
        <w:t xml:space="preserve"> </w:t>
      </w:r>
      <w:hyperlink r:id="rId69" w:history="1">
        <w:r w:rsidR="0072229C" w:rsidRPr="006959D2">
          <w:rPr>
            <w:rStyle w:val="Hyperlink"/>
            <w:rFonts w:ascii="Times New Roman" w:hAnsi="Times New Roman" w:cs="Times New Roman"/>
            <w:sz w:val="25"/>
            <w:szCs w:val="25"/>
          </w:rPr>
          <w:t>conformity with the constitutional mandate..”</w:t>
        </w:r>
      </w:hyperlink>
    </w:p>
    <w:p w:rsidR="00820D12" w:rsidRPr="006959D2" w:rsidRDefault="00820D12">
      <w:pPr>
        <w:pStyle w:val="Bodytext0"/>
        <w:numPr>
          <w:ilvl w:val="0"/>
          <w:numId w:val="1"/>
        </w:numPr>
        <w:shd w:val="clear" w:color="auto" w:fill="auto"/>
        <w:spacing w:before="0" w:after="236" w:line="288" w:lineRule="exact"/>
        <w:ind w:left="20" w:right="40"/>
        <w:jc w:val="both"/>
        <w:rPr>
          <w:rFonts w:ascii="Times New Roman" w:hAnsi="Times New Roman" w:cs="Times New Roman"/>
          <w:sz w:val="25"/>
          <w:szCs w:val="25"/>
        </w:rPr>
      </w:pPr>
      <w:hyperlink r:id="rId70" w:history="1">
        <w:r w:rsidR="0072229C" w:rsidRPr="006959D2">
          <w:rPr>
            <w:rStyle w:val="Hyperlink"/>
            <w:rFonts w:ascii="Times New Roman" w:hAnsi="Times New Roman" w:cs="Times New Roman"/>
            <w:sz w:val="25"/>
            <w:szCs w:val="25"/>
          </w:rPr>
          <w:t xml:space="preserve"> Following the decision in Shankarsan Dass case (supra), this Court in St</w:t>
        </w:r>
        <w:r w:rsidR="0072229C" w:rsidRPr="006959D2">
          <w:rPr>
            <w:rStyle w:val="Hyperlink"/>
            <w:rFonts w:ascii="Times New Roman" w:hAnsi="Times New Roman" w:cs="Times New Roman"/>
            <w:sz w:val="25"/>
            <w:szCs w:val="25"/>
          </w:rPr>
          <w:t>ate of Orissa &amp;</w:t>
        </w:r>
      </w:hyperlink>
      <w:r w:rsidR="0072229C" w:rsidRPr="006959D2">
        <w:rPr>
          <w:rFonts w:ascii="Times New Roman" w:hAnsi="Times New Roman" w:cs="Times New Roman"/>
          <w:sz w:val="25"/>
          <w:szCs w:val="25"/>
        </w:rPr>
        <w:t xml:space="preserve"> </w:t>
      </w:r>
      <w:hyperlink r:id="rId71" w:history="1">
        <w:r w:rsidR="0072229C" w:rsidRPr="006959D2">
          <w:rPr>
            <w:rStyle w:val="Hyperlink"/>
            <w:rFonts w:ascii="Times New Roman" w:hAnsi="Times New Roman" w:cs="Times New Roman"/>
            <w:sz w:val="25"/>
            <w:szCs w:val="25"/>
          </w:rPr>
          <w:t>Anr. v. Rajkishore Nanda &amp; Ors., 2010 (6) SCALE 126 held:</w:t>
        </w:r>
      </w:hyperlink>
    </w:p>
    <w:p w:rsidR="00820D12" w:rsidRPr="006959D2" w:rsidRDefault="00820D12">
      <w:pPr>
        <w:pStyle w:val="Bodytext0"/>
        <w:shd w:val="clear" w:color="auto" w:fill="auto"/>
        <w:spacing w:before="0" w:after="240" w:line="293" w:lineRule="exact"/>
        <w:ind w:left="740" w:right="40"/>
        <w:jc w:val="both"/>
        <w:rPr>
          <w:rFonts w:ascii="Times New Roman" w:hAnsi="Times New Roman" w:cs="Times New Roman"/>
          <w:sz w:val="25"/>
          <w:szCs w:val="25"/>
        </w:rPr>
      </w:pPr>
      <w:hyperlink r:id="rId72" w:history="1">
        <w:r w:rsidR="0072229C" w:rsidRPr="006959D2">
          <w:rPr>
            <w:rStyle w:val="Hyperlink"/>
            <w:rFonts w:ascii="Times New Roman" w:hAnsi="Times New Roman" w:cs="Times New Roman"/>
            <w:sz w:val="25"/>
            <w:szCs w:val="25"/>
          </w:rPr>
          <w:t>“A person whose name appears in the select list does not acquire any</w:t>
        </w:r>
      </w:hyperlink>
      <w:r w:rsidR="0072229C" w:rsidRPr="006959D2">
        <w:rPr>
          <w:rFonts w:ascii="Times New Roman" w:hAnsi="Times New Roman" w:cs="Times New Roman"/>
          <w:sz w:val="25"/>
          <w:szCs w:val="25"/>
        </w:rPr>
        <w:t xml:space="preserve"> </w:t>
      </w:r>
      <w:hyperlink r:id="rId73" w:history="1">
        <w:r w:rsidR="0072229C" w:rsidRPr="006959D2">
          <w:rPr>
            <w:rStyle w:val="Hyperlink"/>
            <w:rFonts w:ascii="Times New Roman" w:hAnsi="Times New Roman" w:cs="Times New Roman"/>
            <w:sz w:val="25"/>
            <w:szCs w:val="25"/>
          </w:rPr>
          <w:t>indefeasible right of appointment. Empanelment at the best is a condition of eligibility</w:t>
        </w:r>
      </w:hyperlink>
      <w:r w:rsidR="0072229C" w:rsidRPr="006959D2">
        <w:rPr>
          <w:rFonts w:ascii="Times New Roman" w:hAnsi="Times New Roman" w:cs="Times New Roman"/>
          <w:sz w:val="25"/>
          <w:szCs w:val="25"/>
        </w:rPr>
        <w:t xml:space="preserve"> </w:t>
      </w:r>
      <w:hyperlink r:id="rId74" w:history="1">
        <w:r w:rsidR="0072229C" w:rsidRPr="006959D2">
          <w:rPr>
            <w:rStyle w:val="Hyperlink"/>
            <w:rFonts w:ascii="Times New Roman" w:hAnsi="Times New Roman" w:cs="Times New Roman"/>
            <w:sz w:val="25"/>
            <w:szCs w:val="25"/>
          </w:rPr>
          <w:t>for purpose of appointment and by itself does not amount to selection or cre</w:t>
        </w:r>
        <w:r w:rsidR="0072229C" w:rsidRPr="006959D2">
          <w:rPr>
            <w:rStyle w:val="Hyperlink"/>
            <w:rFonts w:ascii="Times New Roman" w:hAnsi="Times New Roman" w:cs="Times New Roman"/>
            <w:sz w:val="25"/>
            <w:szCs w:val="25"/>
          </w:rPr>
          <w:t>ate a</w:t>
        </w:r>
      </w:hyperlink>
      <w:r w:rsidR="0072229C" w:rsidRPr="006959D2">
        <w:rPr>
          <w:rFonts w:ascii="Times New Roman" w:hAnsi="Times New Roman" w:cs="Times New Roman"/>
          <w:sz w:val="25"/>
          <w:szCs w:val="25"/>
        </w:rPr>
        <w:t xml:space="preserve"> </w:t>
      </w:r>
      <w:hyperlink r:id="rId75" w:history="1">
        <w:r w:rsidR="0072229C" w:rsidRPr="006959D2">
          <w:rPr>
            <w:rStyle w:val="Hyperlink"/>
            <w:rFonts w:ascii="Times New Roman" w:hAnsi="Times New Roman" w:cs="Times New Roman"/>
            <w:sz w:val="25"/>
            <w:szCs w:val="25"/>
          </w:rPr>
          <w:t>vested right to be appointed. The vacancies have to be filled up as per the statutory</w:t>
        </w:r>
      </w:hyperlink>
      <w:r w:rsidR="0072229C" w:rsidRPr="006959D2">
        <w:rPr>
          <w:rFonts w:ascii="Times New Roman" w:hAnsi="Times New Roman" w:cs="Times New Roman"/>
          <w:sz w:val="25"/>
          <w:szCs w:val="25"/>
        </w:rPr>
        <w:t xml:space="preserve"> </w:t>
      </w:r>
      <w:hyperlink r:id="rId76" w:history="1">
        <w:r w:rsidR="0072229C" w:rsidRPr="006959D2">
          <w:rPr>
            <w:rStyle w:val="Hyperlink"/>
            <w:rFonts w:ascii="Times New Roman" w:hAnsi="Times New Roman" w:cs="Times New Roman"/>
            <w:sz w:val="25"/>
            <w:szCs w:val="25"/>
          </w:rPr>
          <w:t>rules and in conformity with the constitutional mandate.”</w:t>
        </w:r>
      </w:hyperlink>
    </w:p>
    <w:p w:rsidR="00820D12" w:rsidRPr="006959D2" w:rsidRDefault="00820D12">
      <w:pPr>
        <w:pStyle w:val="Bodytext0"/>
        <w:numPr>
          <w:ilvl w:val="0"/>
          <w:numId w:val="1"/>
        </w:numPr>
        <w:shd w:val="clear" w:color="auto" w:fill="auto"/>
        <w:spacing w:before="0" w:line="293" w:lineRule="exact"/>
        <w:ind w:left="20" w:right="40"/>
        <w:jc w:val="both"/>
        <w:rPr>
          <w:rFonts w:ascii="Times New Roman" w:hAnsi="Times New Roman" w:cs="Times New Roman"/>
          <w:sz w:val="25"/>
          <w:szCs w:val="25"/>
        </w:rPr>
      </w:pPr>
      <w:hyperlink r:id="rId77" w:history="1">
        <w:r w:rsidR="0072229C" w:rsidRPr="006959D2">
          <w:rPr>
            <w:rStyle w:val="Hyperlink"/>
            <w:rFonts w:ascii="Times New Roman" w:hAnsi="Times New Roman" w:cs="Times New Roman"/>
            <w:sz w:val="25"/>
            <w:szCs w:val="25"/>
          </w:rPr>
          <w:t xml:space="preserve"> Even assuming the preparation of a panel gave rise to any such right, since no panel had</w:t>
        </w:r>
      </w:hyperlink>
      <w:r w:rsidR="0072229C" w:rsidRPr="006959D2">
        <w:rPr>
          <w:rFonts w:ascii="Times New Roman" w:hAnsi="Times New Roman" w:cs="Times New Roman"/>
          <w:sz w:val="25"/>
          <w:szCs w:val="25"/>
        </w:rPr>
        <w:t xml:space="preserve"> </w:t>
      </w:r>
      <w:hyperlink r:id="rId78" w:history="1">
        <w:r w:rsidR="0072229C" w:rsidRPr="006959D2">
          <w:rPr>
            <w:rStyle w:val="Hyperlink"/>
            <w:rFonts w:ascii="Times New Roman" w:hAnsi="Times New Roman" w:cs="Times New Roman"/>
            <w:sz w:val="25"/>
            <w:szCs w:val="25"/>
          </w:rPr>
          <w:t>actually ever been prepared and published nor has the same been pro</w:t>
        </w:r>
        <w:r w:rsidR="0072229C" w:rsidRPr="006959D2">
          <w:rPr>
            <w:rStyle w:val="Hyperlink"/>
            <w:rFonts w:ascii="Times New Roman" w:hAnsi="Times New Roman" w:cs="Times New Roman"/>
            <w:sz w:val="25"/>
            <w:szCs w:val="25"/>
          </w:rPr>
          <w:t>duced before the High</w:t>
        </w:r>
      </w:hyperlink>
      <w:r w:rsidR="0072229C" w:rsidRPr="006959D2">
        <w:rPr>
          <w:rFonts w:ascii="Times New Roman" w:hAnsi="Times New Roman" w:cs="Times New Roman"/>
          <w:sz w:val="25"/>
          <w:szCs w:val="25"/>
        </w:rPr>
        <w:t xml:space="preserve"> </w:t>
      </w:r>
      <w:hyperlink r:id="rId79" w:history="1">
        <w:r w:rsidR="0072229C" w:rsidRPr="006959D2">
          <w:rPr>
            <w:rStyle w:val="Hyperlink"/>
            <w:rFonts w:ascii="Times New Roman" w:hAnsi="Times New Roman" w:cs="Times New Roman"/>
            <w:sz w:val="25"/>
            <w:szCs w:val="25"/>
          </w:rPr>
          <w:t>Court or before us, we have no hesitation in holding that the direction issued to the</w:t>
        </w:r>
      </w:hyperlink>
      <w:r w:rsidR="0072229C" w:rsidRPr="006959D2">
        <w:rPr>
          <w:rFonts w:ascii="Times New Roman" w:hAnsi="Times New Roman" w:cs="Times New Roman"/>
          <w:sz w:val="25"/>
          <w:szCs w:val="25"/>
        </w:rPr>
        <w:t xml:space="preserve"> </w:t>
      </w:r>
      <w:hyperlink r:id="rId80" w:history="1">
        <w:r w:rsidR="0072229C" w:rsidRPr="006959D2">
          <w:rPr>
            <w:rStyle w:val="Hyperlink"/>
            <w:rFonts w:ascii="Times New Roman" w:hAnsi="Times New Roman" w:cs="Times New Roman"/>
            <w:sz w:val="25"/>
            <w:szCs w:val="25"/>
          </w:rPr>
          <w:t>Commission to act on the basis of the panel wa</w:t>
        </w:r>
        <w:r w:rsidR="0072229C" w:rsidRPr="006959D2">
          <w:rPr>
            <w:rStyle w:val="Hyperlink"/>
            <w:rFonts w:ascii="Times New Roman" w:hAnsi="Times New Roman" w:cs="Times New Roman"/>
            <w:sz w:val="25"/>
            <w:szCs w:val="25"/>
          </w:rPr>
          <w:t>s wholly unjustified and unsustainable. The</w:t>
        </w:r>
      </w:hyperlink>
      <w:r w:rsidR="0072229C" w:rsidRPr="006959D2">
        <w:rPr>
          <w:rFonts w:ascii="Times New Roman" w:hAnsi="Times New Roman" w:cs="Times New Roman"/>
          <w:sz w:val="25"/>
          <w:szCs w:val="25"/>
        </w:rPr>
        <w:t xml:space="preserve"> </w:t>
      </w:r>
      <w:hyperlink r:id="rId81" w:history="1">
        <w:r w:rsidR="0072229C" w:rsidRPr="006959D2">
          <w:rPr>
            <w:rStyle w:val="Hyperlink"/>
            <w:rFonts w:ascii="Times New Roman" w:hAnsi="Times New Roman" w:cs="Times New Roman"/>
            <w:sz w:val="25"/>
            <w:szCs w:val="25"/>
          </w:rPr>
          <w:t>view taken by Dipankar Datta, J. in his order dated 27th July, 2009 that considerable time</w:t>
        </w:r>
      </w:hyperlink>
      <w:r w:rsidR="0072229C" w:rsidRPr="006959D2">
        <w:rPr>
          <w:rFonts w:ascii="Times New Roman" w:hAnsi="Times New Roman" w:cs="Times New Roman"/>
          <w:sz w:val="25"/>
          <w:szCs w:val="25"/>
        </w:rPr>
        <w:t xml:space="preserve"> </w:t>
      </w:r>
      <w:hyperlink r:id="rId82" w:history="1">
        <w:r w:rsidR="0072229C" w:rsidRPr="006959D2">
          <w:rPr>
            <w:rStyle w:val="Hyperlink"/>
            <w:rFonts w:ascii="Times New Roman" w:hAnsi="Times New Roman" w:cs="Times New Roman"/>
            <w:sz w:val="25"/>
            <w:szCs w:val="25"/>
          </w:rPr>
          <w:t>had expired since t</w:t>
        </w:r>
        <w:r w:rsidR="0072229C" w:rsidRPr="006959D2">
          <w:rPr>
            <w:rStyle w:val="Hyperlink"/>
            <w:rFonts w:ascii="Times New Roman" w:hAnsi="Times New Roman" w:cs="Times New Roman"/>
            <w:sz w:val="25"/>
            <w:szCs w:val="25"/>
          </w:rPr>
          <w:t>he selection process was initiated and that other candidates who may have</w:t>
        </w:r>
      </w:hyperlink>
      <w:r w:rsidR="0072229C" w:rsidRPr="006959D2">
        <w:rPr>
          <w:rFonts w:ascii="Times New Roman" w:hAnsi="Times New Roman" w:cs="Times New Roman"/>
          <w:sz w:val="25"/>
          <w:szCs w:val="25"/>
        </w:rPr>
        <w:t xml:space="preserve"> </w:t>
      </w:r>
      <w:hyperlink r:id="rId83" w:history="1">
        <w:r w:rsidR="0072229C" w:rsidRPr="006959D2">
          <w:rPr>
            <w:rStyle w:val="Hyperlink"/>
            <w:rFonts w:ascii="Times New Roman" w:hAnsi="Times New Roman" w:cs="Times New Roman"/>
            <w:sz w:val="25"/>
            <w:szCs w:val="25"/>
          </w:rPr>
          <w:t>in the meantime become qualified for consideration may be deprived of the right to compete</w:t>
        </w:r>
      </w:hyperlink>
    </w:p>
    <w:p w:rsidR="00820D12" w:rsidRPr="006959D2" w:rsidRDefault="00820D12">
      <w:pPr>
        <w:pStyle w:val="Bodytext0"/>
        <w:shd w:val="clear" w:color="auto" w:fill="auto"/>
        <w:spacing w:before="0" w:after="240" w:line="293" w:lineRule="exact"/>
        <w:ind w:left="20" w:right="280"/>
        <w:jc w:val="both"/>
        <w:rPr>
          <w:rFonts w:ascii="Times New Roman" w:hAnsi="Times New Roman" w:cs="Times New Roman"/>
          <w:sz w:val="25"/>
          <w:szCs w:val="25"/>
        </w:rPr>
      </w:pPr>
      <w:hyperlink r:id="rId84" w:history="1">
        <w:r w:rsidR="0072229C" w:rsidRPr="006959D2">
          <w:rPr>
            <w:rStyle w:val="Hyperlink"/>
            <w:rFonts w:ascii="Times New Roman" w:hAnsi="Times New Roman" w:cs="Times New Roman"/>
            <w:sz w:val="25"/>
            <w:szCs w:val="25"/>
          </w:rPr>
          <w:t>was a reason enough for the High Court to decline a mandamus. In the facts and</w:t>
        </w:r>
      </w:hyperlink>
      <w:r w:rsidR="0072229C" w:rsidRPr="006959D2">
        <w:rPr>
          <w:rFonts w:ascii="Times New Roman" w:hAnsi="Times New Roman" w:cs="Times New Roman"/>
          <w:sz w:val="25"/>
          <w:szCs w:val="25"/>
        </w:rPr>
        <w:t xml:space="preserve"> </w:t>
      </w:r>
      <w:hyperlink r:id="rId85" w:history="1">
        <w:r w:rsidR="0072229C" w:rsidRPr="006959D2">
          <w:rPr>
            <w:rStyle w:val="Hyperlink"/>
            <w:rFonts w:ascii="Times New Roman" w:hAnsi="Times New Roman" w:cs="Times New Roman"/>
            <w:sz w:val="25"/>
            <w:szCs w:val="25"/>
          </w:rPr>
          <w:t>circumstances of the case, the Division Bench of the High Court, in our view, committed an</w:t>
        </w:r>
      </w:hyperlink>
      <w:r w:rsidR="0072229C" w:rsidRPr="006959D2">
        <w:rPr>
          <w:rFonts w:ascii="Times New Roman" w:hAnsi="Times New Roman" w:cs="Times New Roman"/>
          <w:sz w:val="25"/>
          <w:szCs w:val="25"/>
        </w:rPr>
        <w:t xml:space="preserve"> </w:t>
      </w:r>
      <w:hyperlink r:id="rId86" w:history="1">
        <w:r w:rsidR="0072229C" w:rsidRPr="006959D2">
          <w:rPr>
            <w:rStyle w:val="Hyperlink"/>
            <w:rFonts w:ascii="Times New Roman" w:hAnsi="Times New Roman" w:cs="Times New Roman"/>
            <w:sz w:val="25"/>
            <w:szCs w:val="25"/>
          </w:rPr>
          <w:t>error in upsetting that direction. We also see no real conflict between the orders passed by</w:t>
        </w:r>
      </w:hyperlink>
      <w:r w:rsidR="0072229C" w:rsidRPr="006959D2">
        <w:rPr>
          <w:rFonts w:ascii="Times New Roman" w:hAnsi="Times New Roman" w:cs="Times New Roman"/>
          <w:sz w:val="25"/>
          <w:szCs w:val="25"/>
        </w:rPr>
        <w:t xml:space="preserve"> </w:t>
      </w:r>
      <w:hyperlink r:id="rId87" w:history="1">
        <w:r w:rsidR="0072229C" w:rsidRPr="006959D2">
          <w:rPr>
            <w:rStyle w:val="Hyperlink"/>
            <w:rFonts w:ascii="Times New Roman" w:hAnsi="Times New Roman" w:cs="Times New Roman"/>
            <w:sz w:val="25"/>
            <w:szCs w:val="25"/>
          </w:rPr>
          <w:t>Dipankar Datta, J. on 12th March, 2009 and that passed on 27th July 2009, inasmuch as</w:t>
        </w:r>
        <w:r w:rsidR="0072229C" w:rsidRPr="006959D2">
          <w:rPr>
            <w:rStyle w:val="Hyperlink"/>
            <w:rFonts w:ascii="Times New Roman" w:hAnsi="Times New Roman" w:cs="Times New Roman"/>
            <w:sz w:val="25"/>
            <w:szCs w:val="25"/>
          </w:rPr>
          <w:t xml:space="preserve"> the</w:t>
        </w:r>
      </w:hyperlink>
      <w:r w:rsidR="0072229C" w:rsidRPr="006959D2">
        <w:rPr>
          <w:rFonts w:ascii="Times New Roman" w:hAnsi="Times New Roman" w:cs="Times New Roman"/>
          <w:sz w:val="25"/>
          <w:szCs w:val="25"/>
        </w:rPr>
        <w:t xml:space="preserve"> </w:t>
      </w:r>
      <w:hyperlink r:id="rId88" w:history="1">
        <w:r w:rsidR="0072229C" w:rsidRPr="006959D2">
          <w:rPr>
            <w:rStyle w:val="Hyperlink"/>
            <w:rFonts w:ascii="Times New Roman" w:hAnsi="Times New Roman" w:cs="Times New Roman"/>
            <w:sz w:val="25"/>
            <w:szCs w:val="25"/>
          </w:rPr>
          <w:t>question of the adding to the life of the panel the period during which there was a stay would</w:t>
        </w:r>
      </w:hyperlink>
      <w:r w:rsidR="0072229C" w:rsidRPr="006959D2">
        <w:rPr>
          <w:rFonts w:ascii="Times New Roman" w:hAnsi="Times New Roman" w:cs="Times New Roman"/>
          <w:sz w:val="25"/>
          <w:szCs w:val="25"/>
        </w:rPr>
        <w:t xml:space="preserve"> </w:t>
      </w:r>
      <w:hyperlink r:id="rId89" w:history="1">
        <w:r w:rsidR="0072229C" w:rsidRPr="006959D2">
          <w:rPr>
            <w:rStyle w:val="Hyperlink"/>
            <w:rFonts w:ascii="Times New Roman" w:hAnsi="Times New Roman" w:cs="Times New Roman"/>
            <w:sz w:val="25"/>
            <w:szCs w:val="25"/>
          </w:rPr>
          <w:t xml:space="preserve">arise only if there was a panel drawn in terms of the </w:t>
        </w:r>
        <w:r w:rsidR="0072229C" w:rsidRPr="006959D2">
          <w:rPr>
            <w:rStyle w:val="Hyperlink"/>
            <w:rFonts w:ascii="Times New Roman" w:hAnsi="Times New Roman" w:cs="Times New Roman"/>
            <w:sz w:val="25"/>
            <w:szCs w:val="25"/>
          </w:rPr>
          <w:t>Regulations.</w:t>
        </w:r>
      </w:hyperlink>
    </w:p>
    <w:p w:rsidR="00820D12" w:rsidRPr="006959D2" w:rsidRDefault="00820D12">
      <w:pPr>
        <w:pStyle w:val="Bodytext0"/>
        <w:numPr>
          <w:ilvl w:val="0"/>
          <w:numId w:val="1"/>
        </w:numPr>
        <w:shd w:val="clear" w:color="auto" w:fill="auto"/>
        <w:spacing w:before="0" w:after="240" w:line="293" w:lineRule="exact"/>
        <w:ind w:left="20" w:right="280"/>
        <w:jc w:val="both"/>
        <w:rPr>
          <w:rFonts w:ascii="Times New Roman" w:hAnsi="Times New Roman" w:cs="Times New Roman"/>
          <w:sz w:val="25"/>
          <w:szCs w:val="25"/>
        </w:rPr>
      </w:pPr>
      <w:hyperlink r:id="rId90" w:history="1">
        <w:r w:rsidR="0072229C" w:rsidRPr="006959D2">
          <w:rPr>
            <w:rStyle w:val="Hyperlink"/>
            <w:rFonts w:ascii="Times New Roman" w:hAnsi="Times New Roman" w:cs="Times New Roman"/>
            <w:sz w:val="25"/>
            <w:szCs w:val="25"/>
          </w:rPr>
          <w:t xml:space="preserve"> We were informed by the parties that the respondent No.1 has been appointed as</w:t>
        </w:r>
      </w:hyperlink>
      <w:r w:rsidR="0072229C" w:rsidRPr="006959D2">
        <w:rPr>
          <w:rFonts w:ascii="Times New Roman" w:hAnsi="Times New Roman" w:cs="Times New Roman"/>
          <w:sz w:val="25"/>
          <w:szCs w:val="25"/>
        </w:rPr>
        <w:t xml:space="preserve"> </w:t>
      </w:r>
      <w:hyperlink r:id="rId91" w:history="1">
        <w:r w:rsidR="0072229C" w:rsidRPr="006959D2">
          <w:rPr>
            <w:rStyle w:val="Hyperlink"/>
            <w:rFonts w:ascii="Times New Roman" w:hAnsi="Times New Roman" w:cs="Times New Roman"/>
            <w:sz w:val="25"/>
            <w:szCs w:val="25"/>
          </w:rPr>
          <w:t xml:space="preserve">Headmaster during the pendency of the litigation at the pain </w:t>
        </w:r>
        <w:r w:rsidR="0072229C" w:rsidRPr="006959D2">
          <w:rPr>
            <w:rStyle w:val="Hyperlink"/>
            <w:rFonts w:ascii="Times New Roman" w:hAnsi="Times New Roman" w:cs="Times New Roman"/>
            <w:sz w:val="25"/>
            <w:szCs w:val="25"/>
          </w:rPr>
          <w:t>of contempt proceedings against</w:t>
        </w:r>
      </w:hyperlink>
      <w:r w:rsidR="0072229C" w:rsidRPr="006959D2">
        <w:rPr>
          <w:rFonts w:ascii="Times New Roman" w:hAnsi="Times New Roman" w:cs="Times New Roman"/>
          <w:sz w:val="25"/>
          <w:szCs w:val="25"/>
        </w:rPr>
        <w:t xml:space="preserve"> </w:t>
      </w:r>
      <w:hyperlink r:id="rId92" w:history="1">
        <w:r w:rsidR="0072229C" w:rsidRPr="006959D2">
          <w:rPr>
            <w:rStyle w:val="Hyperlink"/>
            <w:rFonts w:ascii="Times New Roman" w:hAnsi="Times New Roman" w:cs="Times New Roman"/>
            <w:sz w:val="25"/>
            <w:szCs w:val="25"/>
          </w:rPr>
          <w:t>the parties. That appointment has come sometime in September 2010. Since, the order passed</w:t>
        </w:r>
      </w:hyperlink>
      <w:r w:rsidR="0072229C" w:rsidRPr="006959D2">
        <w:rPr>
          <w:rFonts w:ascii="Times New Roman" w:hAnsi="Times New Roman" w:cs="Times New Roman"/>
          <w:sz w:val="25"/>
          <w:szCs w:val="25"/>
        </w:rPr>
        <w:t xml:space="preserve"> </w:t>
      </w:r>
      <w:hyperlink r:id="rId93" w:history="1">
        <w:r w:rsidR="0072229C" w:rsidRPr="006959D2">
          <w:rPr>
            <w:rStyle w:val="Hyperlink"/>
            <w:rFonts w:ascii="Times New Roman" w:hAnsi="Times New Roman" w:cs="Times New Roman"/>
            <w:sz w:val="25"/>
            <w:szCs w:val="25"/>
          </w:rPr>
          <w:t>which appears to have culminate</w:t>
        </w:r>
        <w:r w:rsidR="0072229C" w:rsidRPr="006959D2">
          <w:rPr>
            <w:rStyle w:val="Hyperlink"/>
            <w:rFonts w:ascii="Times New Roman" w:hAnsi="Times New Roman" w:cs="Times New Roman"/>
            <w:sz w:val="25"/>
            <w:szCs w:val="25"/>
          </w:rPr>
          <w:t>d in the making of the appointment is being set aside, the</w:t>
        </w:r>
      </w:hyperlink>
      <w:r w:rsidR="0072229C" w:rsidRPr="006959D2">
        <w:rPr>
          <w:rFonts w:ascii="Times New Roman" w:hAnsi="Times New Roman" w:cs="Times New Roman"/>
          <w:sz w:val="25"/>
          <w:szCs w:val="25"/>
        </w:rPr>
        <w:t xml:space="preserve"> </w:t>
      </w:r>
      <w:hyperlink r:id="rId94" w:history="1">
        <w:r w:rsidR="0072229C" w:rsidRPr="006959D2">
          <w:rPr>
            <w:rStyle w:val="Hyperlink"/>
            <w:rFonts w:ascii="Times New Roman" w:hAnsi="Times New Roman" w:cs="Times New Roman"/>
            <w:sz w:val="25"/>
            <w:szCs w:val="25"/>
          </w:rPr>
          <w:t>question is whether we should direct immediate removal of the respondent or continuance of</w:t>
        </w:r>
      </w:hyperlink>
      <w:r w:rsidR="0072229C" w:rsidRPr="006959D2">
        <w:rPr>
          <w:rFonts w:ascii="Times New Roman" w:hAnsi="Times New Roman" w:cs="Times New Roman"/>
          <w:sz w:val="25"/>
          <w:szCs w:val="25"/>
        </w:rPr>
        <w:t xml:space="preserve"> </w:t>
      </w:r>
      <w:hyperlink r:id="rId95" w:history="1">
        <w:r w:rsidR="0072229C" w:rsidRPr="006959D2">
          <w:rPr>
            <w:rStyle w:val="Hyperlink"/>
            <w:rFonts w:ascii="Times New Roman" w:hAnsi="Times New Roman" w:cs="Times New Roman"/>
            <w:sz w:val="25"/>
            <w:szCs w:val="25"/>
          </w:rPr>
          <w:t xml:space="preserve">the </w:t>
        </w:r>
        <w:r w:rsidR="0072229C" w:rsidRPr="006959D2">
          <w:rPr>
            <w:rStyle w:val="Hyperlink"/>
            <w:rFonts w:ascii="Times New Roman" w:hAnsi="Times New Roman" w:cs="Times New Roman"/>
            <w:sz w:val="25"/>
            <w:szCs w:val="25"/>
          </w:rPr>
          <w:t>arrangement till such time fresh selection process is initiated and completed in</w:t>
        </w:r>
      </w:hyperlink>
      <w:r w:rsidR="0072229C" w:rsidRPr="006959D2">
        <w:rPr>
          <w:rFonts w:ascii="Times New Roman" w:hAnsi="Times New Roman" w:cs="Times New Roman"/>
          <w:sz w:val="25"/>
          <w:szCs w:val="25"/>
        </w:rPr>
        <w:t xml:space="preserve"> </w:t>
      </w:r>
      <w:hyperlink r:id="rId96" w:history="1">
        <w:r w:rsidR="0072229C" w:rsidRPr="006959D2">
          <w:rPr>
            <w:rStyle w:val="Hyperlink"/>
            <w:rFonts w:ascii="Times New Roman" w:hAnsi="Times New Roman" w:cs="Times New Roman"/>
            <w:sz w:val="25"/>
            <w:szCs w:val="25"/>
          </w:rPr>
          <w:t>accordance with law. In our opinion, not only because the respondent has been holding the</w:t>
        </w:r>
      </w:hyperlink>
      <w:r w:rsidR="0072229C" w:rsidRPr="006959D2">
        <w:rPr>
          <w:rFonts w:ascii="Times New Roman" w:hAnsi="Times New Roman" w:cs="Times New Roman"/>
          <w:sz w:val="25"/>
          <w:szCs w:val="25"/>
        </w:rPr>
        <w:t xml:space="preserve"> </w:t>
      </w:r>
      <w:hyperlink r:id="rId97" w:history="1">
        <w:r w:rsidR="0072229C" w:rsidRPr="006959D2">
          <w:rPr>
            <w:rStyle w:val="Hyperlink"/>
            <w:rFonts w:ascii="Times New Roman" w:hAnsi="Times New Roman" w:cs="Times New Roman"/>
            <w:sz w:val="25"/>
            <w:szCs w:val="25"/>
          </w:rPr>
          <w:t>post for two years, but also because his removal would not immediately result in any benefit</w:t>
        </w:r>
      </w:hyperlink>
      <w:r w:rsidR="0072229C" w:rsidRPr="006959D2">
        <w:rPr>
          <w:rFonts w:ascii="Times New Roman" w:hAnsi="Times New Roman" w:cs="Times New Roman"/>
          <w:sz w:val="25"/>
          <w:szCs w:val="25"/>
        </w:rPr>
        <w:t xml:space="preserve"> </w:t>
      </w:r>
      <w:hyperlink r:id="rId98" w:history="1">
        <w:r w:rsidR="0072229C" w:rsidRPr="006959D2">
          <w:rPr>
            <w:rStyle w:val="Hyperlink"/>
            <w:rFonts w:ascii="Times New Roman" w:hAnsi="Times New Roman" w:cs="Times New Roman"/>
            <w:sz w:val="25"/>
            <w:szCs w:val="25"/>
          </w:rPr>
          <w:t>either to the institution or to the appellant before us, we, therefore, per</w:t>
        </w:r>
        <w:r w:rsidR="0072229C" w:rsidRPr="006959D2">
          <w:rPr>
            <w:rStyle w:val="Hyperlink"/>
            <w:rFonts w:ascii="Times New Roman" w:hAnsi="Times New Roman" w:cs="Times New Roman"/>
            <w:sz w:val="25"/>
            <w:szCs w:val="25"/>
          </w:rPr>
          <w:t>mit him to continue</w:t>
        </w:r>
      </w:hyperlink>
      <w:r w:rsidR="0072229C" w:rsidRPr="006959D2">
        <w:rPr>
          <w:rFonts w:ascii="Times New Roman" w:hAnsi="Times New Roman" w:cs="Times New Roman"/>
          <w:sz w:val="25"/>
          <w:szCs w:val="25"/>
        </w:rPr>
        <w:t xml:space="preserve"> </w:t>
      </w:r>
      <w:hyperlink r:id="rId99" w:history="1">
        <w:r w:rsidR="0072229C" w:rsidRPr="006959D2">
          <w:rPr>
            <w:rStyle w:val="Hyperlink"/>
            <w:rFonts w:ascii="Times New Roman" w:hAnsi="Times New Roman" w:cs="Times New Roman"/>
            <w:sz w:val="25"/>
            <w:szCs w:val="25"/>
          </w:rPr>
          <w:t>holding the post but only till such time a fresh selection is made against the vacancy.</w:t>
        </w:r>
      </w:hyperlink>
    </w:p>
    <w:p w:rsidR="00820D12" w:rsidRPr="006959D2" w:rsidRDefault="00820D12">
      <w:pPr>
        <w:pStyle w:val="Bodytext0"/>
        <w:numPr>
          <w:ilvl w:val="0"/>
          <w:numId w:val="1"/>
        </w:numPr>
        <w:shd w:val="clear" w:color="auto" w:fill="auto"/>
        <w:spacing w:before="0" w:after="290" w:line="293" w:lineRule="exact"/>
        <w:ind w:left="20" w:right="280"/>
        <w:jc w:val="both"/>
        <w:rPr>
          <w:rFonts w:ascii="Times New Roman" w:hAnsi="Times New Roman" w:cs="Times New Roman"/>
          <w:sz w:val="25"/>
          <w:szCs w:val="25"/>
        </w:rPr>
      </w:pPr>
      <w:hyperlink r:id="rId100" w:history="1">
        <w:r w:rsidR="0072229C" w:rsidRPr="006959D2">
          <w:rPr>
            <w:rStyle w:val="Hyperlink"/>
            <w:rFonts w:ascii="Times New Roman" w:hAnsi="Times New Roman" w:cs="Times New Roman"/>
            <w:sz w:val="25"/>
            <w:szCs w:val="25"/>
          </w:rPr>
          <w:t xml:space="preserve"> In the result, we allow this appeal, set aside the order passed by the Division Bench and</w:t>
        </w:r>
      </w:hyperlink>
      <w:r w:rsidR="0072229C" w:rsidRPr="006959D2">
        <w:rPr>
          <w:rFonts w:ascii="Times New Roman" w:hAnsi="Times New Roman" w:cs="Times New Roman"/>
          <w:sz w:val="25"/>
          <w:szCs w:val="25"/>
        </w:rPr>
        <w:t xml:space="preserve"> </w:t>
      </w:r>
      <w:hyperlink r:id="rId101" w:history="1">
        <w:r w:rsidR="0072229C" w:rsidRPr="006959D2">
          <w:rPr>
            <w:rStyle w:val="Hyperlink"/>
            <w:rFonts w:ascii="Times New Roman" w:hAnsi="Times New Roman" w:cs="Times New Roman"/>
            <w:sz w:val="25"/>
            <w:szCs w:val="25"/>
          </w:rPr>
          <w:t>affirm that passed by Dipankar Datta, J. dated 27th July, 2009 with the above direction. We</w:t>
        </w:r>
      </w:hyperlink>
      <w:r w:rsidR="0072229C" w:rsidRPr="006959D2">
        <w:rPr>
          <w:rFonts w:ascii="Times New Roman" w:hAnsi="Times New Roman" w:cs="Times New Roman"/>
          <w:sz w:val="25"/>
          <w:szCs w:val="25"/>
        </w:rPr>
        <w:t xml:space="preserve"> </w:t>
      </w:r>
      <w:hyperlink r:id="rId102" w:history="1">
        <w:r w:rsidR="0072229C" w:rsidRPr="006959D2">
          <w:rPr>
            <w:rStyle w:val="Hyperlink"/>
            <w:rFonts w:ascii="Times New Roman" w:hAnsi="Times New Roman" w:cs="Times New Roman"/>
            <w:sz w:val="25"/>
            <w:szCs w:val="25"/>
          </w:rPr>
          <w:t>make it clear that the respondent No.1 shall be entitled to all the monetary benefits for the</w:t>
        </w:r>
      </w:hyperlink>
      <w:r w:rsidR="0072229C" w:rsidRPr="006959D2">
        <w:rPr>
          <w:rFonts w:ascii="Times New Roman" w:hAnsi="Times New Roman" w:cs="Times New Roman"/>
          <w:sz w:val="25"/>
          <w:szCs w:val="25"/>
        </w:rPr>
        <w:t xml:space="preserve"> </w:t>
      </w:r>
      <w:hyperlink r:id="rId103" w:history="1">
        <w:r w:rsidR="0072229C" w:rsidRPr="006959D2">
          <w:rPr>
            <w:rStyle w:val="Hyperlink"/>
            <w:rFonts w:ascii="Times New Roman" w:hAnsi="Times New Roman" w:cs="Times New Roman"/>
            <w:sz w:val="25"/>
            <w:szCs w:val="25"/>
          </w:rPr>
          <w:t>period during which he actually works as the Headmaster of the school. The fact th</w:t>
        </w:r>
        <w:r w:rsidR="0072229C" w:rsidRPr="006959D2">
          <w:rPr>
            <w:rStyle w:val="Hyperlink"/>
            <w:rFonts w:ascii="Times New Roman" w:hAnsi="Times New Roman" w:cs="Times New Roman"/>
            <w:sz w:val="25"/>
            <w:szCs w:val="25"/>
          </w:rPr>
          <w:t>at he so</w:t>
        </w:r>
      </w:hyperlink>
      <w:r w:rsidR="0072229C" w:rsidRPr="006959D2">
        <w:rPr>
          <w:rFonts w:ascii="Times New Roman" w:hAnsi="Times New Roman" w:cs="Times New Roman"/>
          <w:sz w:val="25"/>
          <w:szCs w:val="25"/>
        </w:rPr>
        <w:t xml:space="preserve"> </w:t>
      </w:r>
      <w:hyperlink r:id="rId104" w:history="1">
        <w:r w:rsidR="0072229C" w:rsidRPr="006959D2">
          <w:rPr>
            <w:rStyle w:val="Hyperlink"/>
            <w:rFonts w:ascii="Times New Roman" w:hAnsi="Times New Roman" w:cs="Times New Roman"/>
            <w:sz w:val="25"/>
            <w:szCs w:val="25"/>
          </w:rPr>
          <w:t>works would not, however, create any equity in his favour nor constitute an additional</w:t>
        </w:r>
      </w:hyperlink>
      <w:r w:rsidR="0072229C" w:rsidRPr="006959D2">
        <w:rPr>
          <w:rFonts w:ascii="Times New Roman" w:hAnsi="Times New Roman" w:cs="Times New Roman"/>
          <w:sz w:val="25"/>
          <w:szCs w:val="25"/>
        </w:rPr>
        <w:t xml:space="preserve"> </w:t>
      </w:r>
      <w:hyperlink r:id="rId105" w:history="1">
        <w:r w:rsidR="0072229C" w:rsidRPr="006959D2">
          <w:rPr>
            <w:rStyle w:val="Hyperlink"/>
            <w:rFonts w:ascii="Times New Roman" w:hAnsi="Times New Roman" w:cs="Times New Roman"/>
            <w:sz w:val="25"/>
            <w:szCs w:val="25"/>
          </w:rPr>
          <w:t>weightage in the new selection process.</w:t>
        </w:r>
      </w:hyperlink>
    </w:p>
    <w:p w:rsidR="00820D12" w:rsidRPr="006959D2" w:rsidRDefault="00820D12">
      <w:pPr>
        <w:pStyle w:val="Bodytext0"/>
        <w:numPr>
          <w:ilvl w:val="0"/>
          <w:numId w:val="1"/>
        </w:numPr>
        <w:shd w:val="clear" w:color="auto" w:fill="auto"/>
        <w:spacing w:before="0" w:line="230" w:lineRule="exact"/>
        <w:ind w:left="20"/>
        <w:jc w:val="both"/>
        <w:rPr>
          <w:rFonts w:ascii="Times New Roman" w:hAnsi="Times New Roman" w:cs="Times New Roman"/>
          <w:sz w:val="25"/>
          <w:szCs w:val="25"/>
        </w:rPr>
      </w:pPr>
      <w:hyperlink r:id="rId106" w:history="1">
        <w:r w:rsidR="0072229C" w:rsidRPr="006959D2">
          <w:rPr>
            <w:rStyle w:val="Hyperlink"/>
            <w:rFonts w:ascii="Times New Roman" w:hAnsi="Times New Roman" w:cs="Times New Roman"/>
            <w:sz w:val="25"/>
            <w:szCs w:val="25"/>
          </w:rPr>
          <w:t xml:space="preserve"> Parties are directed to bear their own costs.</w:t>
        </w:r>
      </w:hyperlink>
    </w:p>
    <w:sectPr w:rsidR="00820D12" w:rsidRPr="006959D2" w:rsidSect="00820D12">
      <w:footerReference w:type="default" r:id="rId107"/>
      <w:type w:val="continuous"/>
      <w:pgSz w:w="12240" w:h="15840"/>
      <w:pgMar w:top="1257" w:right="1291" w:bottom="1694" w:left="131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29C" w:rsidRDefault="0072229C" w:rsidP="00820D12">
      <w:r>
        <w:separator/>
      </w:r>
    </w:p>
  </w:endnote>
  <w:endnote w:type="continuationSeparator" w:id="1">
    <w:p w:rsidR="0072229C" w:rsidRDefault="0072229C" w:rsidP="00820D12">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D12" w:rsidRDefault="00820D12">
    <w:pPr>
      <w:rPr>
        <w:sz w:val="2"/>
        <w:szCs w:val="2"/>
      </w:rPr>
    </w:pPr>
    <w:r w:rsidRPr="00820D12">
      <w:pict>
        <v:shapetype id="_x0000_t202" coordsize="21600,21600" o:spt="202" path="m,l,21600r21600,l21600,xe">
          <v:stroke joinstyle="miter"/>
          <v:path gradientshapeok="t" o:connecttype="rect"/>
        </v:shapetype>
        <v:shape id="_x0000_s1025" type="#_x0000_t202" style="position:absolute;margin-left:304.3pt;margin-top:10in;width:204.25pt;height:10.1pt;z-index:-251658752;mso-wrap-distance-left:5pt;mso-wrap-distance-right:5pt;mso-position-horizontal-relative:page;mso-position-vertical-relative:page" wrapcoords="0 0" filled="f" stroked="f">
          <v:textbox style="mso-fit-shape-to-text:t" inset="0,0,0,0">
            <w:txbxContent>
              <w:p w:rsidR="00820D12" w:rsidRDefault="00820D12">
                <w:pPr>
                  <w:pStyle w:val="Headerorfooter0"/>
                  <w:shd w:val="clear" w:color="auto" w:fill="auto"/>
                  <w:tabs>
                    <w:tab w:val="right" w:pos="4085"/>
                  </w:tabs>
                  <w:spacing w:line="240" w:lineRule="auto"/>
                </w:pPr>
                <w:fldSimple w:instr=" PAGE \* MERGEFORMAT ">
                  <w:r w:rsidR="0072229C" w:rsidRPr="0072229C">
                    <w:rPr>
                      <w:rStyle w:val="Headerorfooter1"/>
                      <w:noProof/>
                    </w:rPr>
                    <w:t>1</w:t>
                  </w:r>
                </w:fldSimple>
                <w:r w:rsidR="0072229C">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29C" w:rsidRDefault="0072229C"/>
  </w:footnote>
  <w:footnote w:type="continuationSeparator" w:id="1">
    <w:p w:rsidR="0072229C" w:rsidRDefault="0072229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7720D"/>
    <w:multiLevelType w:val="multilevel"/>
    <w:tmpl w:val="6AFCE58C"/>
    <w:lvl w:ilvl="0">
      <w:start w:val="2009"/>
      <w:numFmt w:val="decimal"/>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8352C86"/>
    <w:multiLevelType w:val="multilevel"/>
    <w:tmpl w:val="769CD998"/>
    <w:lvl w:ilvl="0">
      <w:start w:val="1"/>
      <w:numFmt w:val="decimal"/>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20D12"/>
    <w:rsid w:val="006959D2"/>
    <w:rsid w:val="0072229C"/>
    <w:rsid w:val="00820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0D1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0D12"/>
    <w:rPr>
      <w:color w:val="0066CC"/>
      <w:u w:val="single"/>
    </w:rPr>
  </w:style>
  <w:style w:type="character" w:customStyle="1" w:styleId="Bodytext2">
    <w:name w:val="Body text (2)_"/>
    <w:basedOn w:val="DefaultParagraphFont"/>
    <w:link w:val="Bodytext20"/>
    <w:rsid w:val="00820D12"/>
    <w:rPr>
      <w:rFonts w:ascii="David" w:eastAsia="David" w:hAnsi="David" w:cs="David"/>
      <w:b/>
      <w:bCs/>
      <w:i w:val="0"/>
      <w:iCs w:val="0"/>
      <w:smallCaps w:val="0"/>
      <w:strike w:val="0"/>
      <w:u w:val="none"/>
    </w:rPr>
  </w:style>
  <w:style w:type="character" w:customStyle="1" w:styleId="Headerorfooter">
    <w:name w:val="Header or footer_"/>
    <w:basedOn w:val="DefaultParagraphFont"/>
    <w:link w:val="Headerorfooter0"/>
    <w:rsid w:val="00820D12"/>
    <w:rPr>
      <w:rFonts w:ascii="David" w:eastAsia="David" w:hAnsi="David" w:cs="David"/>
      <w:b w:val="0"/>
      <w:bCs w:val="0"/>
      <w:i w:val="0"/>
      <w:iCs w:val="0"/>
      <w:smallCaps w:val="0"/>
      <w:strike w:val="0"/>
      <w:sz w:val="21"/>
      <w:szCs w:val="21"/>
      <w:u w:val="none"/>
    </w:rPr>
  </w:style>
  <w:style w:type="character" w:customStyle="1" w:styleId="Headerorfooter1">
    <w:name w:val="Header or footer"/>
    <w:basedOn w:val="Headerorfooter"/>
    <w:rsid w:val="00820D12"/>
    <w:rPr>
      <w:color w:val="000000"/>
      <w:spacing w:val="0"/>
      <w:w w:val="100"/>
      <w:position w:val="0"/>
      <w:lang w:val="en-US" w:eastAsia="en-US" w:bidi="en-US"/>
    </w:rPr>
  </w:style>
  <w:style w:type="character" w:customStyle="1" w:styleId="Bodytext">
    <w:name w:val="Body text_"/>
    <w:basedOn w:val="DefaultParagraphFont"/>
    <w:link w:val="Bodytext0"/>
    <w:rsid w:val="00820D12"/>
    <w:rPr>
      <w:rFonts w:ascii="David" w:eastAsia="David" w:hAnsi="David" w:cs="David"/>
      <w:b w:val="0"/>
      <w:bCs w:val="0"/>
      <w:i w:val="0"/>
      <w:iCs w:val="0"/>
      <w:smallCaps w:val="0"/>
      <w:strike w:val="0"/>
      <w:sz w:val="23"/>
      <w:szCs w:val="23"/>
      <w:u w:val="none"/>
    </w:rPr>
  </w:style>
  <w:style w:type="paragraph" w:customStyle="1" w:styleId="Bodytext20">
    <w:name w:val="Body text (2)"/>
    <w:basedOn w:val="Normal"/>
    <w:link w:val="Bodytext2"/>
    <w:rsid w:val="00820D12"/>
    <w:pPr>
      <w:shd w:val="clear" w:color="auto" w:fill="FFFFFF"/>
      <w:spacing w:after="360" w:line="0" w:lineRule="atLeast"/>
      <w:jc w:val="center"/>
    </w:pPr>
    <w:rPr>
      <w:rFonts w:ascii="David" w:eastAsia="David" w:hAnsi="David" w:cs="David"/>
      <w:b/>
      <w:bCs/>
    </w:rPr>
  </w:style>
  <w:style w:type="paragraph" w:customStyle="1" w:styleId="Headerorfooter0">
    <w:name w:val="Header or footer"/>
    <w:basedOn w:val="Normal"/>
    <w:link w:val="Headerorfooter"/>
    <w:rsid w:val="00820D12"/>
    <w:pPr>
      <w:shd w:val="clear" w:color="auto" w:fill="FFFFFF"/>
      <w:spacing w:line="0" w:lineRule="atLeast"/>
    </w:pPr>
    <w:rPr>
      <w:rFonts w:ascii="David" w:eastAsia="David" w:hAnsi="David" w:cs="David"/>
      <w:sz w:val="21"/>
      <w:szCs w:val="21"/>
    </w:rPr>
  </w:style>
  <w:style w:type="paragraph" w:customStyle="1" w:styleId="Bodytext0">
    <w:name w:val="Body text"/>
    <w:basedOn w:val="Normal"/>
    <w:link w:val="Bodytext"/>
    <w:rsid w:val="00820D12"/>
    <w:pPr>
      <w:shd w:val="clear" w:color="auto" w:fill="FFFFFF"/>
      <w:spacing w:before="360" w:line="586" w:lineRule="exact"/>
      <w:jc w:val="center"/>
    </w:pPr>
    <w:rPr>
      <w:rFonts w:ascii="David" w:eastAsia="David" w:hAnsi="David" w:cs="David"/>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indiankanoon.org/doc/476719/" TargetMode="External"/><Relationship Id="rId21" Type="http://schemas.openxmlformats.org/officeDocument/2006/relationships/hyperlink" Target="http://indiankanoon.org/doc/476719/" TargetMode="External"/><Relationship Id="rId42" Type="http://schemas.openxmlformats.org/officeDocument/2006/relationships/hyperlink" Target="http://indiankanoon.org/doc/476719/" TargetMode="External"/><Relationship Id="rId47" Type="http://schemas.openxmlformats.org/officeDocument/2006/relationships/hyperlink" Target="http://indiankanoon.org/doc/476719/" TargetMode="External"/><Relationship Id="rId63" Type="http://schemas.openxmlformats.org/officeDocument/2006/relationships/hyperlink" Target="http://indiankanoon.org/doc/476719/" TargetMode="External"/><Relationship Id="rId68" Type="http://schemas.openxmlformats.org/officeDocument/2006/relationships/hyperlink" Target="http://indiankanoon.org/doc/476719/" TargetMode="External"/><Relationship Id="rId84" Type="http://schemas.openxmlformats.org/officeDocument/2006/relationships/hyperlink" Target="http://indiankanoon.org/doc/1054422/" TargetMode="External"/><Relationship Id="rId89" Type="http://schemas.openxmlformats.org/officeDocument/2006/relationships/hyperlink" Target="http://indiankanoon.org/doc/1054422/" TargetMode="External"/><Relationship Id="rId2" Type="http://schemas.openxmlformats.org/officeDocument/2006/relationships/styles" Target="styles.xml"/><Relationship Id="rId16" Type="http://schemas.openxmlformats.org/officeDocument/2006/relationships/hyperlink" Target="http://indiankanoon.org/doc/476719/" TargetMode="External"/><Relationship Id="rId29" Type="http://schemas.openxmlformats.org/officeDocument/2006/relationships/hyperlink" Target="http://indiankanoon.org/doc/476719/" TargetMode="External"/><Relationship Id="rId107" Type="http://schemas.openxmlformats.org/officeDocument/2006/relationships/footer" Target="footer1.xml"/><Relationship Id="rId11" Type="http://schemas.openxmlformats.org/officeDocument/2006/relationships/hyperlink" Target="http://indiankanoon.org/doc/476719/" TargetMode="External"/><Relationship Id="rId24" Type="http://schemas.openxmlformats.org/officeDocument/2006/relationships/hyperlink" Target="http://indiankanoon.org/doc/476719/" TargetMode="External"/><Relationship Id="rId32" Type="http://schemas.openxmlformats.org/officeDocument/2006/relationships/hyperlink" Target="http://indiankanoon.org/doc/476719/" TargetMode="External"/><Relationship Id="rId37" Type="http://schemas.openxmlformats.org/officeDocument/2006/relationships/hyperlink" Target="http://indiankanoon.org/doc/476719/" TargetMode="External"/><Relationship Id="rId40" Type="http://schemas.openxmlformats.org/officeDocument/2006/relationships/hyperlink" Target="http://indiankanoon.org/doc/476719/" TargetMode="External"/><Relationship Id="rId45" Type="http://schemas.openxmlformats.org/officeDocument/2006/relationships/hyperlink" Target="http://indiankanoon.org/doc/476719/" TargetMode="External"/><Relationship Id="rId53" Type="http://schemas.openxmlformats.org/officeDocument/2006/relationships/hyperlink" Target="http://indiankanoon.org/doc/476719/" TargetMode="External"/><Relationship Id="rId58" Type="http://schemas.openxmlformats.org/officeDocument/2006/relationships/hyperlink" Target="http://indiankanoon.org/doc/476719/" TargetMode="External"/><Relationship Id="rId66" Type="http://schemas.openxmlformats.org/officeDocument/2006/relationships/hyperlink" Target="http://indiankanoon.org/doc/476719/" TargetMode="External"/><Relationship Id="rId74" Type="http://schemas.openxmlformats.org/officeDocument/2006/relationships/hyperlink" Target="http://indiankanoon.org/doc/1054422/" TargetMode="External"/><Relationship Id="rId79" Type="http://schemas.openxmlformats.org/officeDocument/2006/relationships/hyperlink" Target="http://indiankanoon.org/doc/1054422/" TargetMode="External"/><Relationship Id="rId87" Type="http://schemas.openxmlformats.org/officeDocument/2006/relationships/hyperlink" Target="http://indiankanoon.org/doc/1054422/" TargetMode="External"/><Relationship Id="rId102" Type="http://schemas.openxmlformats.org/officeDocument/2006/relationships/hyperlink" Target="http://indiankanoon.org/doc/1054422/" TargetMode="External"/><Relationship Id="rId5" Type="http://schemas.openxmlformats.org/officeDocument/2006/relationships/footnotes" Target="footnotes.xml"/><Relationship Id="rId61" Type="http://schemas.openxmlformats.org/officeDocument/2006/relationships/hyperlink" Target="http://indiankanoon.org/doc/476719/" TargetMode="External"/><Relationship Id="rId82" Type="http://schemas.openxmlformats.org/officeDocument/2006/relationships/hyperlink" Target="http://indiankanoon.org/doc/1054422/" TargetMode="External"/><Relationship Id="rId90" Type="http://schemas.openxmlformats.org/officeDocument/2006/relationships/hyperlink" Target="http://indiankanoon.org/doc/1054422/" TargetMode="External"/><Relationship Id="rId95" Type="http://schemas.openxmlformats.org/officeDocument/2006/relationships/hyperlink" Target="http://indiankanoon.org/doc/1054422/" TargetMode="External"/><Relationship Id="rId19" Type="http://schemas.openxmlformats.org/officeDocument/2006/relationships/hyperlink" Target="http://indiankanoon.org/doc/476719/" TargetMode="External"/><Relationship Id="rId14" Type="http://schemas.openxmlformats.org/officeDocument/2006/relationships/hyperlink" Target="http://indiankanoon.org/doc/476719/" TargetMode="External"/><Relationship Id="rId22" Type="http://schemas.openxmlformats.org/officeDocument/2006/relationships/hyperlink" Target="http://indiankanoon.org/doc/476719/" TargetMode="External"/><Relationship Id="rId27" Type="http://schemas.openxmlformats.org/officeDocument/2006/relationships/hyperlink" Target="http://indiankanoon.org/doc/476719/" TargetMode="External"/><Relationship Id="rId30" Type="http://schemas.openxmlformats.org/officeDocument/2006/relationships/hyperlink" Target="http://indiankanoon.org/doc/476719/" TargetMode="External"/><Relationship Id="rId35" Type="http://schemas.openxmlformats.org/officeDocument/2006/relationships/hyperlink" Target="http://indiankanoon.org/doc/476719/" TargetMode="External"/><Relationship Id="rId43" Type="http://schemas.openxmlformats.org/officeDocument/2006/relationships/hyperlink" Target="http://indiankanoon.org/doc/476719/" TargetMode="External"/><Relationship Id="rId48" Type="http://schemas.openxmlformats.org/officeDocument/2006/relationships/hyperlink" Target="http://indiankanoon.org/doc/476719/" TargetMode="External"/><Relationship Id="rId56" Type="http://schemas.openxmlformats.org/officeDocument/2006/relationships/hyperlink" Target="http://indiankanoon.org/doc/476719/" TargetMode="External"/><Relationship Id="rId64" Type="http://schemas.openxmlformats.org/officeDocument/2006/relationships/hyperlink" Target="http://indiankanoon.org/doc/476719/" TargetMode="External"/><Relationship Id="rId69" Type="http://schemas.openxmlformats.org/officeDocument/2006/relationships/hyperlink" Target="http://indiankanoon.org/doc/476719/" TargetMode="External"/><Relationship Id="rId77" Type="http://schemas.openxmlformats.org/officeDocument/2006/relationships/hyperlink" Target="http://indiankanoon.org/doc/1054422/" TargetMode="External"/><Relationship Id="rId100" Type="http://schemas.openxmlformats.org/officeDocument/2006/relationships/hyperlink" Target="http://indiankanoon.org/doc/1054422/" TargetMode="External"/><Relationship Id="rId105" Type="http://schemas.openxmlformats.org/officeDocument/2006/relationships/hyperlink" Target="http://indiankanoon.org/doc/1054422/" TargetMode="External"/><Relationship Id="rId8" Type="http://schemas.openxmlformats.org/officeDocument/2006/relationships/hyperlink" Target="http://indiankanoon.org/doc/476719/" TargetMode="External"/><Relationship Id="rId51" Type="http://schemas.openxmlformats.org/officeDocument/2006/relationships/hyperlink" Target="http://indiankanoon.org/doc/476719/" TargetMode="External"/><Relationship Id="rId72" Type="http://schemas.openxmlformats.org/officeDocument/2006/relationships/hyperlink" Target="http://indiankanoon.org/doc/1054422/" TargetMode="External"/><Relationship Id="rId80" Type="http://schemas.openxmlformats.org/officeDocument/2006/relationships/hyperlink" Target="http://indiankanoon.org/doc/1054422/" TargetMode="External"/><Relationship Id="rId85" Type="http://schemas.openxmlformats.org/officeDocument/2006/relationships/hyperlink" Target="http://indiankanoon.org/doc/1054422/" TargetMode="External"/><Relationship Id="rId93" Type="http://schemas.openxmlformats.org/officeDocument/2006/relationships/hyperlink" Target="http://indiankanoon.org/doc/1054422/" TargetMode="External"/><Relationship Id="rId98" Type="http://schemas.openxmlformats.org/officeDocument/2006/relationships/hyperlink" Target="http://indiankanoon.org/doc/1054422/" TargetMode="External"/><Relationship Id="rId3" Type="http://schemas.openxmlformats.org/officeDocument/2006/relationships/settings" Target="settings.xml"/><Relationship Id="rId12" Type="http://schemas.openxmlformats.org/officeDocument/2006/relationships/hyperlink" Target="http://indiankanoon.org/doc/476719/" TargetMode="External"/><Relationship Id="rId17" Type="http://schemas.openxmlformats.org/officeDocument/2006/relationships/hyperlink" Target="http://indiankanoon.org/doc/476719/" TargetMode="External"/><Relationship Id="rId25" Type="http://schemas.openxmlformats.org/officeDocument/2006/relationships/hyperlink" Target="http://indiankanoon.org/doc/476719/" TargetMode="External"/><Relationship Id="rId33" Type="http://schemas.openxmlformats.org/officeDocument/2006/relationships/hyperlink" Target="http://indiankanoon.org/doc/476719/" TargetMode="External"/><Relationship Id="rId38" Type="http://schemas.openxmlformats.org/officeDocument/2006/relationships/hyperlink" Target="http://indiankanoon.org/doc/476719/" TargetMode="External"/><Relationship Id="rId46" Type="http://schemas.openxmlformats.org/officeDocument/2006/relationships/hyperlink" Target="http://indiankanoon.org/doc/476719/" TargetMode="External"/><Relationship Id="rId59" Type="http://schemas.openxmlformats.org/officeDocument/2006/relationships/hyperlink" Target="http://indiankanoon.org/doc/476719/" TargetMode="External"/><Relationship Id="rId67" Type="http://schemas.openxmlformats.org/officeDocument/2006/relationships/hyperlink" Target="http://indiankanoon.org/doc/476719/" TargetMode="External"/><Relationship Id="rId103" Type="http://schemas.openxmlformats.org/officeDocument/2006/relationships/hyperlink" Target="http://indiankanoon.org/doc/1054422/" TargetMode="External"/><Relationship Id="rId108" Type="http://schemas.openxmlformats.org/officeDocument/2006/relationships/fontTable" Target="fontTable.xml"/><Relationship Id="rId20" Type="http://schemas.openxmlformats.org/officeDocument/2006/relationships/hyperlink" Target="http://indiankanoon.org/doc/476719/" TargetMode="External"/><Relationship Id="rId41" Type="http://schemas.openxmlformats.org/officeDocument/2006/relationships/hyperlink" Target="http://indiankanoon.org/doc/476719/" TargetMode="External"/><Relationship Id="rId54" Type="http://schemas.openxmlformats.org/officeDocument/2006/relationships/hyperlink" Target="http://indiankanoon.org/doc/476719/" TargetMode="External"/><Relationship Id="rId62" Type="http://schemas.openxmlformats.org/officeDocument/2006/relationships/hyperlink" Target="http://indiankanoon.org/doc/476719/" TargetMode="External"/><Relationship Id="rId70" Type="http://schemas.openxmlformats.org/officeDocument/2006/relationships/hyperlink" Target="http://indiankanoon.org/doc/476719/" TargetMode="External"/><Relationship Id="rId75" Type="http://schemas.openxmlformats.org/officeDocument/2006/relationships/hyperlink" Target="http://indiankanoon.org/doc/1054422/" TargetMode="External"/><Relationship Id="rId83" Type="http://schemas.openxmlformats.org/officeDocument/2006/relationships/hyperlink" Target="http://indiankanoon.org/doc/1054422/" TargetMode="External"/><Relationship Id="rId88" Type="http://schemas.openxmlformats.org/officeDocument/2006/relationships/hyperlink" Target="http://indiankanoon.org/doc/1054422/" TargetMode="External"/><Relationship Id="rId91" Type="http://schemas.openxmlformats.org/officeDocument/2006/relationships/hyperlink" Target="http://indiankanoon.org/doc/1054422/" TargetMode="External"/><Relationship Id="rId96" Type="http://schemas.openxmlformats.org/officeDocument/2006/relationships/hyperlink" Target="http://indiankanoon.org/doc/105442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ndiankanoon.org/doc/476719/" TargetMode="External"/><Relationship Id="rId23" Type="http://schemas.openxmlformats.org/officeDocument/2006/relationships/hyperlink" Target="http://indiankanoon.org/doc/476719/" TargetMode="External"/><Relationship Id="rId28" Type="http://schemas.openxmlformats.org/officeDocument/2006/relationships/hyperlink" Target="http://indiankanoon.org/doc/476719/" TargetMode="External"/><Relationship Id="rId36" Type="http://schemas.openxmlformats.org/officeDocument/2006/relationships/hyperlink" Target="http://indiankanoon.org/doc/476719/" TargetMode="External"/><Relationship Id="rId49" Type="http://schemas.openxmlformats.org/officeDocument/2006/relationships/hyperlink" Target="http://indiankanoon.org/doc/476719/" TargetMode="External"/><Relationship Id="rId57" Type="http://schemas.openxmlformats.org/officeDocument/2006/relationships/hyperlink" Target="http://indiankanoon.org/doc/476719/" TargetMode="External"/><Relationship Id="rId106" Type="http://schemas.openxmlformats.org/officeDocument/2006/relationships/hyperlink" Target="http://indiankanoon.org/doc/1054422/" TargetMode="External"/><Relationship Id="rId10" Type="http://schemas.openxmlformats.org/officeDocument/2006/relationships/hyperlink" Target="http://indiankanoon.org/doc/476719/" TargetMode="External"/><Relationship Id="rId31" Type="http://schemas.openxmlformats.org/officeDocument/2006/relationships/hyperlink" Target="http://indiankanoon.org/doc/476719/" TargetMode="External"/><Relationship Id="rId44" Type="http://schemas.openxmlformats.org/officeDocument/2006/relationships/hyperlink" Target="http://indiankanoon.org/doc/476719/" TargetMode="External"/><Relationship Id="rId52" Type="http://schemas.openxmlformats.org/officeDocument/2006/relationships/hyperlink" Target="http://indiankanoon.org/doc/476719/" TargetMode="External"/><Relationship Id="rId60" Type="http://schemas.openxmlformats.org/officeDocument/2006/relationships/hyperlink" Target="http://indiankanoon.org/doc/476719/" TargetMode="External"/><Relationship Id="rId65" Type="http://schemas.openxmlformats.org/officeDocument/2006/relationships/hyperlink" Target="http://indiankanoon.org/doc/476719/" TargetMode="External"/><Relationship Id="rId73" Type="http://schemas.openxmlformats.org/officeDocument/2006/relationships/hyperlink" Target="http://indiankanoon.org/doc/1054422/" TargetMode="External"/><Relationship Id="rId78" Type="http://schemas.openxmlformats.org/officeDocument/2006/relationships/hyperlink" Target="http://indiankanoon.org/doc/1054422/" TargetMode="External"/><Relationship Id="rId81" Type="http://schemas.openxmlformats.org/officeDocument/2006/relationships/hyperlink" Target="http://indiankanoon.org/doc/1054422/" TargetMode="External"/><Relationship Id="rId86" Type="http://schemas.openxmlformats.org/officeDocument/2006/relationships/hyperlink" Target="http://indiankanoon.org/doc/1054422/" TargetMode="External"/><Relationship Id="rId94" Type="http://schemas.openxmlformats.org/officeDocument/2006/relationships/hyperlink" Target="http://indiankanoon.org/doc/1054422/" TargetMode="External"/><Relationship Id="rId99" Type="http://schemas.openxmlformats.org/officeDocument/2006/relationships/hyperlink" Target="http://indiankanoon.org/doc/1054422/" TargetMode="External"/><Relationship Id="rId101" Type="http://schemas.openxmlformats.org/officeDocument/2006/relationships/hyperlink" Target="http://indiankanoon.org/doc/1054422/" TargetMode="External"/><Relationship Id="rId4" Type="http://schemas.openxmlformats.org/officeDocument/2006/relationships/webSettings" Target="webSettings.xml"/><Relationship Id="rId9" Type="http://schemas.openxmlformats.org/officeDocument/2006/relationships/hyperlink" Target="http://indiankanoon.org/doc/476719/" TargetMode="External"/><Relationship Id="rId13" Type="http://schemas.openxmlformats.org/officeDocument/2006/relationships/hyperlink" Target="http://indiankanoon.org/doc/476719/" TargetMode="External"/><Relationship Id="rId18" Type="http://schemas.openxmlformats.org/officeDocument/2006/relationships/hyperlink" Target="http://indiankanoon.org/doc/476719/" TargetMode="External"/><Relationship Id="rId39" Type="http://schemas.openxmlformats.org/officeDocument/2006/relationships/hyperlink" Target="http://indiankanoon.org/doc/476719/" TargetMode="External"/><Relationship Id="rId109" Type="http://schemas.openxmlformats.org/officeDocument/2006/relationships/theme" Target="theme/theme1.xml"/><Relationship Id="rId34" Type="http://schemas.openxmlformats.org/officeDocument/2006/relationships/hyperlink" Target="http://indiankanoon.org/doc/476719/" TargetMode="External"/><Relationship Id="rId50" Type="http://schemas.openxmlformats.org/officeDocument/2006/relationships/hyperlink" Target="http://indiankanoon.org/doc/476719/" TargetMode="External"/><Relationship Id="rId55" Type="http://schemas.openxmlformats.org/officeDocument/2006/relationships/hyperlink" Target="http://indiankanoon.org/doc/476719/" TargetMode="External"/><Relationship Id="rId76" Type="http://schemas.openxmlformats.org/officeDocument/2006/relationships/hyperlink" Target="http://indiankanoon.org/doc/1054422/" TargetMode="External"/><Relationship Id="rId97" Type="http://schemas.openxmlformats.org/officeDocument/2006/relationships/hyperlink" Target="http://indiankanoon.org/doc/1054422/" TargetMode="External"/><Relationship Id="rId104" Type="http://schemas.openxmlformats.org/officeDocument/2006/relationships/hyperlink" Target="http://indiankanoon.org/doc/1054422/" TargetMode="External"/><Relationship Id="rId7" Type="http://schemas.openxmlformats.org/officeDocument/2006/relationships/hyperlink" Target="http://indiankanoon.org/doc/476719/" TargetMode="External"/><Relationship Id="rId71" Type="http://schemas.openxmlformats.org/officeDocument/2006/relationships/hyperlink" Target="http://indiankanoon.org/doc/1054422/" TargetMode="External"/><Relationship Id="rId92" Type="http://schemas.openxmlformats.org/officeDocument/2006/relationships/hyperlink" Target="http://indiankanoon.org/doc/1054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3374</Words>
  <Characters>19235</Characters>
  <Application>Microsoft Office Word</Application>
  <DocSecurity>0</DocSecurity>
  <Lines>160</Lines>
  <Paragraphs>45</Paragraphs>
  <ScaleCrop>false</ScaleCrop>
  <Company/>
  <LinksUpToDate>false</LinksUpToDate>
  <CharactersWithSpaces>22564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2017-06-01T12:06:00Z</dcterms:created>
  <dcterms:modified xsi:type="dcterms:W3CDTF">2017-06-01T12:07:00Z</dcterms:modified>
</cp:coreProperties>
</file>