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70" w:rsidRDefault="00A15B3C" w:rsidP="000B7BDD">
      <w:pPr>
        <w:pStyle w:val="Bodytext20"/>
        <w:shd w:val="clear" w:color="auto" w:fill="auto"/>
        <w:spacing w:after="0" w:line="240" w:lineRule="auto"/>
        <w:ind w:right="20"/>
        <w:rPr>
          <w:sz w:val="25"/>
          <w:szCs w:val="25"/>
        </w:rPr>
      </w:pPr>
      <w:r w:rsidRPr="000B7BDD">
        <w:rPr>
          <w:sz w:val="25"/>
          <w:szCs w:val="25"/>
        </w:rPr>
        <w:t>SUPREME COURT OF INDIA</w:t>
      </w:r>
    </w:p>
    <w:p w:rsidR="000B7BDD" w:rsidRPr="000B7BDD" w:rsidRDefault="000B7BDD" w:rsidP="000B7BDD">
      <w:pPr>
        <w:pStyle w:val="Bodytext20"/>
        <w:shd w:val="clear" w:color="auto" w:fill="auto"/>
        <w:spacing w:after="0" w:line="240" w:lineRule="auto"/>
        <w:ind w:right="20"/>
        <w:rPr>
          <w:sz w:val="25"/>
          <w:szCs w:val="25"/>
        </w:rPr>
      </w:pPr>
    </w:p>
    <w:p w:rsidR="007F2270" w:rsidRDefault="00A15B3C" w:rsidP="000B7BDD">
      <w:pPr>
        <w:pStyle w:val="Bodytext0"/>
        <w:shd w:val="clear" w:color="auto" w:fill="auto"/>
        <w:spacing w:before="0" w:after="0" w:line="240" w:lineRule="auto"/>
        <w:ind w:right="20"/>
        <w:rPr>
          <w:sz w:val="25"/>
          <w:szCs w:val="25"/>
        </w:rPr>
      </w:pPr>
      <w:r w:rsidRPr="000B7BDD">
        <w:rPr>
          <w:sz w:val="25"/>
          <w:szCs w:val="25"/>
        </w:rPr>
        <w:t>Subodh Nath and Anr.</w:t>
      </w:r>
    </w:p>
    <w:p w:rsidR="000B7BDD" w:rsidRPr="000B7BDD" w:rsidRDefault="000B7BDD" w:rsidP="000B7BDD">
      <w:pPr>
        <w:pStyle w:val="Bodytext0"/>
        <w:shd w:val="clear" w:color="auto" w:fill="auto"/>
        <w:spacing w:before="0" w:after="0" w:line="240" w:lineRule="auto"/>
        <w:ind w:right="20"/>
        <w:rPr>
          <w:sz w:val="25"/>
          <w:szCs w:val="25"/>
        </w:rPr>
      </w:pPr>
    </w:p>
    <w:p w:rsidR="007F2270" w:rsidRDefault="00A15B3C" w:rsidP="000B7BDD">
      <w:pPr>
        <w:pStyle w:val="Bodytext0"/>
        <w:shd w:val="clear" w:color="auto" w:fill="auto"/>
        <w:spacing w:before="0" w:after="0" w:line="240" w:lineRule="auto"/>
        <w:ind w:right="20"/>
        <w:rPr>
          <w:sz w:val="25"/>
          <w:szCs w:val="25"/>
        </w:rPr>
      </w:pPr>
      <w:r w:rsidRPr="000B7BDD">
        <w:rPr>
          <w:sz w:val="25"/>
          <w:szCs w:val="25"/>
        </w:rPr>
        <w:t>Vs.</w:t>
      </w:r>
    </w:p>
    <w:p w:rsidR="000B7BDD" w:rsidRPr="000B7BDD" w:rsidRDefault="000B7BDD" w:rsidP="000B7BDD">
      <w:pPr>
        <w:pStyle w:val="Bodytext0"/>
        <w:shd w:val="clear" w:color="auto" w:fill="auto"/>
        <w:spacing w:before="0" w:after="0" w:line="240" w:lineRule="auto"/>
        <w:ind w:right="20"/>
        <w:rPr>
          <w:sz w:val="25"/>
          <w:szCs w:val="25"/>
        </w:rPr>
      </w:pPr>
    </w:p>
    <w:p w:rsidR="007F2270" w:rsidRDefault="00A15B3C" w:rsidP="000B7BDD">
      <w:pPr>
        <w:pStyle w:val="Bodytext0"/>
        <w:shd w:val="clear" w:color="auto" w:fill="auto"/>
        <w:spacing w:before="0" w:after="0" w:line="240" w:lineRule="auto"/>
        <w:ind w:right="20"/>
        <w:rPr>
          <w:sz w:val="25"/>
          <w:szCs w:val="25"/>
        </w:rPr>
      </w:pPr>
      <w:r w:rsidRPr="000B7BDD">
        <w:rPr>
          <w:sz w:val="25"/>
          <w:szCs w:val="25"/>
        </w:rPr>
        <w:t>State of Tripura</w:t>
      </w:r>
    </w:p>
    <w:p w:rsidR="000B7BDD" w:rsidRPr="000B7BDD" w:rsidRDefault="000B7BDD" w:rsidP="000B7BDD">
      <w:pPr>
        <w:pStyle w:val="Bodytext0"/>
        <w:shd w:val="clear" w:color="auto" w:fill="auto"/>
        <w:spacing w:before="0" w:after="0" w:line="240" w:lineRule="auto"/>
        <w:ind w:right="20"/>
        <w:rPr>
          <w:sz w:val="25"/>
          <w:szCs w:val="25"/>
        </w:rPr>
      </w:pPr>
    </w:p>
    <w:p w:rsidR="000B7BDD" w:rsidRDefault="00A15B3C" w:rsidP="000B7BDD">
      <w:pPr>
        <w:pStyle w:val="Bodytext0"/>
        <w:shd w:val="clear" w:color="auto" w:fill="auto"/>
        <w:spacing w:before="0" w:after="0" w:line="240" w:lineRule="auto"/>
        <w:ind w:right="20"/>
        <w:rPr>
          <w:sz w:val="25"/>
          <w:szCs w:val="25"/>
        </w:rPr>
      </w:pPr>
      <w:r w:rsidRPr="000B7BDD">
        <w:rPr>
          <w:sz w:val="25"/>
          <w:szCs w:val="25"/>
        </w:rPr>
        <w:t xml:space="preserve">Crl.A.No. 1551 of 2007 </w:t>
      </w:r>
    </w:p>
    <w:p w:rsidR="000B7BDD" w:rsidRDefault="000B7BDD" w:rsidP="000B7BDD">
      <w:pPr>
        <w:pStyle w:val="Bodytext0"/>
        <w:shd w:val="clear" w:color="auto" w:fill="auto"/>
        <w:spacing w:before="0" w:after="0" w:line="240" w:lineRule="auto"/>
        <w:ind w:right="20"/>
        <w:rPr>
          <w:sz w:val="25"/>
          <w:szCs w:val="25"/>
        </w:rPr>
      </w:pPr>
    </w:p>
    <w:p w:rsidR="007F2270" w:rsidRDefault="00A15B3C" w:rsidP="000B7BDD">
      <w:pPr>
        <w:pStyle w:val="Bodytext0"/>
        <w:shd w:val="clear" w:color="auto" w:fill="auto"/>
        <w:spacing w:before="0" w:after="0" w:line="240" w:lineRule="auto"/>
        <w:ind w:right="20"/>
        <w:rPr>
          <w:sz w:val="25"/>
          <w:szCs w:val="25"/>
        </w:rPr>
      </w:pPr>
      <w:r w:rsidRPr="000B7BDD">
        <w:rPr>
          <w:sz w:val="25"/>
          <w:szCs w:val="25"/>
        </w:rPr>
        <w:t xml:space="preserve">(A. </w:t>
      </w:r>
      <w:r w:rsidRPr="000B7BDD">
        <w:rPr>
          <w:sz w:val="25"/>
          <w:szCs w:val="25"/>
        </w:rPr>
        <w:t>K. Patnaik And H. L. Gokhale,JJ.)</w:t>
      </w:r>
    </w:p>
    <w:p w:rsidR="000B7BDD" w:rsidRPr="000B7BDD" w:rsidRDefault="000B7BDD" w:rsidP="000B7BDD">
      <w:pPr>
        <w:pStyle w:val="Bodytext0"/>
        <w:shd w:val="clear" w:color="auto" w:fill="auto"/>
        <w:spacing w:before="0" w:after="0" w:line="240" w:lineRule="auto"/>
        <w:ind w:right="20"/>
        <w:rPr>
          <w:sz w:val="25"/>
          <w:szCs w:val="25"/>
        </w:rPr>
      </w:pPr>
    </w:p>
    <w:p w:rsidR="007F2270" w:rsidRDefault="00A15B3C" w:rsidP="000B7BDD">
      <w:pPr>
        <w:pStyle w:val="Bodytext0"/>
        <w:shd w:val="clear" w:color="auto" w:fill="auto"/>
        <w:spacing w:before="0" w:after="0" w:line="240" w:lineRule="auto"/>
        <w:ind w:right="20"/>
        <w:rPr>
          <w:sz w:val="25"/>
          <w:szCs w:val="25"/>
        </w:rPr>
      </w:pPr>
      <w:r w:rsidRPr="000B7BDD">
        <w:rPr>
          <w:sz w:val="25"/>
          <w:szCs w:val="25"/>
        </w:rPr>
        <w:t>19.03.2013</w:t>
      </w:r>
    </w:p>
    <w:p w:rsidR="000B7BDD" w:rsidRPr="000B7BDD" w:rsidRDefault="000B7BDD" w:rsidP="000B7BDD">
      <w:pPr>
        <w:pStyle w:val="Bodytext0"/>
        <w:shd w:val="clear" w:color="auto" w:fill="auto"/>
        <w:spacing w:before="0" w:after="0" w:line="240" w:lineRule="auto"/>
        <w:ind w:right="20"/>
        <w:rPr>
          <w:sz w:val="25"/>
          <w:szCs w:val="25"/>
        </w:rPr>
      </w:pPr>
    </w:p>
    <w:p w:rsidR="007F2270" w:rsidRDefault="00A15B3C" w:rsidP="000B7BDD">
      <w:pPr>
        <w:pStyle w:val="Bodytext20"/>
        <w:shd w:val="clear" w:color="auto" w:fill="auto"/>
        <w:spacing w:after="0" w:line="240" w:lineRule="auto"/>
        <w:ind w:right="20"/>
        <w:rPr>
          <w:sz w:val="25"/>
          <w:szCs w:val="25"/>
        </w:rPr>
      </w:pPr>
      <w:r w:rsidRPr="000B7BDD">
        <w:rPr>
          <w:sz w:val="25"/>
          <w:szCs w:val="25"/>
        </w:rPr>
        <w:t>JUDGMENT</w:t>
      </w:r>
    </w:p>
    <w:p w:rsidR="000B7BDD" w:rsidRPr="000B7BDD" w:rsidRDefault="000B7BDD" w:rsidP="000B7BDD">
      <w:pPr>
        <w:pStyle w:val="Bodytext20"/>
        <w:shd w:val="clear" w:color="auto" w:fill="auto"/>
        <w:spacing w:after="0" w:line="240" w:lineRule="auto"/>
        <w:ind w:right="20"/>
        <w:rPr>
          <w:sz w:val="25"/>
          <w:szCs w:val="25"/>
        </w:rPr>
      </w:pPr>
    </w:p>
    <w:p w:rsidR="007F2270" w:rsidRDefault="00A15B3C" w:rsidP="000B7BDD">
      <w:pPr>
        <w:pStyle w:val="Bodytext20"/>
        <w:numPr>
          <w:ilvl w:val="0"/>
          <w:numId w:val="2"/>
        </w:numPr>
        <w:shd w:val="clear" w:color="auto" w:fill="auto"/>
        <w:spacing w:after="0" w:line="240" w:lineRule="auto"/>
        <w:jc w:val="both"/>
        <w:rPr>
          <w:sz w:val="25"/>
          <w:szCs w:val="25"/>
        </w:rPr>
      </w:pPr>
      <w:r w:rsidRPr="000B7BDD">
        <w:rPr>
          <w:sz w:val="25"/>
          <w:szCs w:val="25"/>
        </w:rPr>
        <w:t>K. Patnaik, J.</w:t>
      </w:r>
    </w:p>
    <w:p w:rsidR="000B7BDD" w:rsidRPr="000B7BDD" w:rsidRDefault="000B7BDD" w:rsidP="000B7BDD">
      <w:pPr>
        <w:pStyle w:val="Bodytext20"/>
        <w:shd w:val="clear" w:color="auto" w:fill="auto"/>
        <w:spacing w:after="0" w:line="240" w:lineRule="auto"/>
        <w:ind w:left="380"/>
        <w:jc w:val="both"/>
        <w:rPr>
          <w:sz w:val="25"/>
          <w:szCs w:val="25"/>
        </w:rPr>
      </w:pPr>
    </w:p>
    <w:p w:rsidR="007F2270" w:rsidRPr="000B7BDD" w:rsidRDefault="00A15B3C">
      <w:pPr>
        <w:pStyle w:val="Bodytext0"/>
        <w:numPr>
          <w:ilvl w:val="0"/>
          <w:numId w:val="1"/>
        </w:numPr>
        <w:shd w:val="clear" w:color="auto" w:fill="auto"/>
        <w:spacing w:before="0" w:after="0" w:line="360" w:lineRule="exact"/>
        <w:ind w:left="20" w:right="20"/>
        <w:jc w:val="both"/>
        <w:rPr>
          <w:sz w:val="25"/>
          <w:szCs w:val="25"/>
        </w:rPr>
      </w:pPr>
      <w:r w:rsidRPr="000B7BDD">
        <w:rPr>
          <w:sz w:val="25"/>
          <w:szCs w:val="25"/>
        </w:rPr>
        <w:t xml:space="preserve"> This is an appeal by way of special leave under Article 136 of the Constitution against the judgment dated 08.06.2005 of the Gauhati High Court, Agartala Bench, in Criminal Appeal No. 22 of 2004.</w:t>
      </w:r>
    </w:p>
    <w:p w:rsidR="007F2270" w:rsidRPr="000B7BDD" w:rsidRDefault="00A15B3C">
      <w:pPr>
        <w:pStyle w:val="Bodytext0"/>
        <w:numPr>
          <w:ilvl w:val="0"/>
          <w:numId w:val="1"/>
        </w:numPr>
        <w:shd w:val="clear" w:color="auto" w:fill="auto"/>
        <w:spacing w:before="0" w:after="0" w:line="360" w:lineRule="exact"/>
        <w:ind w:left="20" w:right="20"/>
        <w:jc w:val="both"/>
        <w:rPr>
          <w:sz w:val="25"/>
          <w:szCs w:val="25"/>
        </w:rPr>
      </w:pPr>
      <w:r w:rsidRPr="000B7BDD">
        <w:rPr>
          <w:sz w:val="25"/>
          <w:szCs w:val="25"/>
        </w:rPr>
        <w:t xml:space="preserve"> The facts very briefly are that on 09.10.1998, Ashutosh took out his cows for grazing but did not return home till dusk and his cousin, Kripesh, along with others searched for Ashutosh but could not find him. On the next day (10.10.1998) at about 8.30 a.m</w:t>
      </w:r>
      <w:r w:rsidRPr="000B7BDD">
        <w:rPr>
          <w:sz w:val="25"/>
          <w:szCs w:val="25"/>
        </w:rPr>
        <w:t>., he again went out looking for Ashutosh and found his dead body with injuries lying in a jungle at Nalia Tilla. Kripesh then lodged an FIR at the Panisagar Police Station and the police registered a case and held an inquest over the dead body of the dece</w:t>
      </w:r>
      <w:r w:rsidRPr="000B7BDD">
        <w:rPr>
          <w:sz w:val="25"/>
          <w:szCs w:val="25"/>
        </w:rPr>
        <w:t>ased. In course of the investigation, the police apprehended Pranajit, who was working as a labourer under Ashutosh and Kripesh, from District Cachar and brought him to Dharamnagar and during interrogation Pranajit disclosed that Ashutosh had been killed b</w:t>
      </w:r>
      <w:r w:rsidRPr="000B7BDD">
        <w:rPr>
          <w:sz w:val="25"/>
          <w:szCs w:val="25"/>
        </w:rPr>
        <w:t>y the two appellants. The statement of Pranajit was also recorded under Section 164 of the Code of Criminal Procedure, 1973 (for short ‘Cr.P.C.’) and on completion of the investigation, the police filed charge-sheet against the appellants.</w:t>
      </w:r>
    </w:p>
    <w:p w:rsidR="007F2270" w:rsidRPr="000B7BDD" w:rsidRDefault="00A15B3C">
      <w:pPr>
        <w:pStyle w:val="Bodytext0"/>
        <w:numPr>
          <w:ilvl w:val="0"/>
          <w:numId w:val="1"/>
        </w:numPr>
        <w:shd w:val="clear" w:color="auto" w:fill="auto"/>
        <w:spacing w:before="0" w:after="0" w:line="360" w:lineRule="exact"/>
        <w:ind w:left="20" w:right="20"/>
        <w:jc w:val="both"/>
        <w:rPr>
          <w:sz w:val="25"/>
          <w:szCs w:val="25"/>
        </w:rPr>
      </w:pPr>
      <w:r w:rsidRPr="000B7BDD">
        <w:rPr>
          <w:sz w:val="25"/>
          <w:szCs w:val="25"/>
        </w:rPr>
        <w:t xml:space="preserve"> At the trial, t</w:t>
      </w:r>
      <w:r w:rsidRPr="000B7BDD">
        <w:rPr>
          <w:sz w:val="25"/>
          <w:szCs w:val="25"/>
        </w:rPr>
        <w:t>he prosecution examined a total of 19 witnesses. Kripesh, the informant, was examined as PW-1, Patal, the elder brother of Pranajit, was examined as PW-2 and he stated that PW-13 had disclosed to him that the appellants assaulted the deceased by an axe and</w:t>
      </w:r>
      <w:r w:rsidRPr="000B7BDD">
        <w:rPr>
          <w:sz w:val="25"/>
          <w:szCs w:val="25"/>
        </w:rPr>
        <w:t xml:space="preserve"> a lathi. Pranajit was examined as PW-13 and he has stated that he had gone along with the deceased to graze cows at Nalia Tilla and the appellant no.1 had dealt an axe blow on the deceased while the appellant no.2 dealt a lathi blow on him. The appellants</w:t>
      </w:r>
      <w:r w:rsidRPr="000B7BDD">
        <w:rPr>
          <w:sz w:val="25"/>
          <w:szCs w:val="25"/>
        </w:rPr>
        <w:t xml:space="preserve"> did not produce </w:t>
      </w:r>
      <w:r w:rsidRPr="000B7BDD">
        <w:rPr>
          <w:sz w:val="25"/>
          <w:szCs w:val="25"/>
        </w:rPr>
        <w:lastRenderedPageBreak/>
        <w:t>any evidence in their defence. The trial court convicted the appellants under Section 302 read with Section 34 of the Indian Penal Code, 1860 (for short ‘the IPC’) and sentenced them to imprisonment for life and a fine of Rs.5000/- each an</w:t>
      </w:r>
      <w:r w:rsidRPr="000B7BDD">
        <w:rPr>
          <w:sz w:val="25"/>
          <w:szCs w:val="25"/>
        </w:rPr>
        <w:t>d in default, to undergo further imprisonment for a period of one year. The appellants filed Criminal Appeal No. 22 of 2004 before the High Court, but by the impugned judgment the High Court maintained the conviction and sentence and dismissed the appeal.</w:t>
      </w:r>
    </w:p>
    <w:p w:rsidR="007F2270" w:rsidRPr="000B7BDD" w:rsidRDefault="00A15B3C">
      <w:pPr>
        <w:pStyle w:val="Bodytext0"/>
        <w:numPr>
          <w:ilvl w:val="0"/>
          <w:numId w:val="1"/>
        </w:numPr>
        <w:shd w:val="clear" w:color="auto" w:fill="auto"/>
        <w:spacing w:before="0" w:after="0" w:line="360" w:lineRule="exact"/>
        <w:ind w:left="20" w:right="40"/>
        <w:jc w:val="both"/>
        <w:rPr>
          <w:sz w:val="25"/>
          <w:szCs w:val="25"/>
        </w:rPr>
      </w:pPr>
      <w:r w:rsidRPr="000B7BDD">
        <w:rPr>
          <w:sz w:val="25"/>
          <w:szCs w:val="25"/>
        </w:rPr>
        <w:t xml:space="preserve"> Mr. Lalit Chauhan, learned counsel appearing for the appellants, submitted that on 09.10.1998 when the offence was alleged to have been committed, the appellant no.2, Paritosh, was less than 18 years of age and was, therefore, a juvenile within the meanin</w:t>
      </w:r>
      <w:r w:rsidRPr="000B7BDD">
        <w:rPr>
          <w:sz w:val="25"/>
          <w:szCs w:val="25"/>
        </w:rPr>
        <w:t>g of Section 2(k) of the Juvenile Justice (Care and Protection of Children) Act, 2000 (for short ‘the 2000 Act’). He relied on the copy of the primary education certificate issued by the Teacher-in-charge of West Bilthai S.B. School, Dharmanagar, Tripura (</w:t>
      </w:r>
      <w:r w:rsidRPr="000B7BDD">
        <w:rPr>
          <w:sz w:val="25"/>
          <w:szCs w:val="25"/>
        </w:rPr>
        <w:t>N), to show that the date of birth of the appellant no.2 was 28.05.1983. He submitted that accordingly his age was about 16 years on 09.10.1998, the date on which the offence was committed. He submitted that the trial court and the High Court, however, too</w:t>
      </w:r>
      <w:r w:rsidRPr="000B7BDD">
        <w:rPr>
          <w:sz w:val="25"/>
          <w:szCs w:val="25"/>
        </w:rPr>
        <w:t>k the view that the provisions of the 2000 Act would not apply to the offence which was committed on 09.10.1998 and instead the provisions of Juvenile Justice Act, 1986 (for short ‘the 1986 Act’) would apply and under the 1986 Act only a person who is show</w:t>
      </w:r>
      <w:r w:rsidRPr="000B7BDD">
        <w:rPr>
          <w:sz w:val="25"/>
          <w:szCs w:val="25"/>
        </w:rPr>
        <w:t>n to be less than 16 years of age at the time of the commission of the offence is a juvenile and it was satisfactorily proved that the appellant no.2 was 16 years of age on the date of commission of the offence. He submitted that in Hari Ram v. State of Ra</w:t>
      </w:r>
      <w:r w:rsidRPr="000B7BDD">
        <w:rPr>
          <w:sz w:val="25"/>
          <w:szCs w:val="25"/>
        </w:rPr>
        <w:t>jasthan and Another [(2009) 13 SCC 211], this Court has taken a view that all persons who were below the age of 18 years on the date of commission of the offence would have to be treated as juveniles by virtue of the 2000 Act as amended by theAmendment Act</w:t>
      </w:r>
      <w:r w:rsidRPr="000B7BDD">
        <w:rPr>
          <w:sz w:val="25"/>
          <w:szCs w:val="25"/>
        </w:rPr>
        <w:t xml:space="preserve"> of 2006. He submitted that, therefore, the appeal of appellant no.2 will have to be allowed and the impugned judgment of the High Court qua appellant no.2 will have to be set aside.</w:t>
      </w:r>
    </w:p>
    <w:p w:rsidR="007F2270" w:rsidRPr="000B7BDD" w:rsidRDefault="00A15B3C">
      <w:pPr>
        <w:pStyle w:val="Bodytext0"/>
        <w:numPr>
          <w:ilvl w:val="0"/>
          <w:numId w:val="1"/>
        </w:numPr>
        <w:shd w:val="clear" w:color="auto" w:fill="auto"/>
        <w:spacing w:before="0" w:after="0" w:line="360" w:lineRule="exact"/>
        <w:ind w:left="20" w:right="40"/>
        <w:jc w:val="both"/>
        <w:rPr>
          <w:sz w:val="25"/>
          <w:szCs w:val="25"/>
        </w:rPr>
      </w:pPr>
      <w:r w:rsidRPr="000B7BDD">
        <w:rPr>
          <w:sz w:val="25"/>
          <w:szCs w:val="25"/>
        </w:rPr>
        <w:t xml:space="preserve"> Regarding the appeal of the appellant no.1, Mr. Chauhan submitted that h</w:t>
      </w:r>
      <w:r w:rsidRPr="000B7BDD">
        <w:rPr>
          <w:sz w:val="25"/>
          <w:szCs w:val="25"/>
        </w:rPr>
        <w:t>is conviction is based on the sole testimony of PW-13, but PW-13 ought not to have been believed because he had ran away from the place of occurrence in North Tripura district, where he was working as a labourer, to the Cachar district and he was thus a su</w:t>
      </w:r>
      <w:r w:rsidRPr="000B7BDD">
        <w:rPr>
          <w:sz w:val="25"/>
          <w:szCs w:val="25"/>
        </w:rPr>
        <w:t>spect. He cited the decision of this Court in Badri v. State of Rajasthan [(1976) 1 SCC 442] in which it has been held that in case of a witness who is neither wholly reliable nor whole unreliable, the Court must be circumspect and has to look for corrobor</w:t>
      </w:r>
      <w:r w:rsidRPr="000B7BDD">
        <w:rPr>
          <w:sz w:val="25"/>
          <w:szCs w:val="25"/>
        </w:rPr>
        <w:t>ation in material particulars by reliable testimony, direct or circumstantial. He also relied on Lallu Manjhi and Another v. State of Jharkhand (AIR 2003 SC 854) in which similarly the need to look for corroboration where the evidence was neither wholly re</w:t>
      </w:r>
      <w:r w:rsidRPr="000B7BDD">
        <w:rPr>
          <w:sz w:val="25"/>
          <w:szCs w:val="25"/>
        </w:rPr>
        <w:t>liable nor wholly unreliable was again emphasized.</w:t>
      </w:r>
    </w:p>
    <w:p w:rsidR="007F2270" w:rsidRPr="000B7BDD" w:rsidRDefault="00A15B3C">
      <w:pPr>
        <w:pStyle w:val="Bodytext0"/>
        <w:numPr>
          <w:ilvl w:val="0"/>
          <w:numId w:val="1"/>
        </w:numPr>
        <w:shd w:val="clear" w:color="auto" w:fill="auto"/>
        <w:spacing w:before="0" w:after="0" w:line="360" w:lineRule="exact"/>
        <w:ind w:left="20" w:right="40"/>
        <w:jc w:val="both"/>
        <w:rPr>
          <w:sz w:val="25"/>
          <w:szCs w:val="25"/>
        </w:rPr>
      </w:pPr>
      <w:r w:rsidRPr="000B7BDD">
        <w:rPr>
          <w:sz w:val="25"/>
          <w:szCs w:val="25"/>
        </w:rPr>
        <w:t xml:space="preserve"> Mr. Chauhan next pointed out some discrepancies in the evidence of PW- 2 and PW-13. He pointed out that PW-2 had stated in his evidence that PW- 13 had told him that the appellant no. 1 (Subodh) had restr</w:t>
      </w:r>
      <w:r w:rsidRPr="000B7BDD">
        <w:rPr>
          <w:sz w:val="25"/>
          <w:szCs w:val="25"/>
        </w:rPr>
        <w:t>ained him and had threatened him if he disclosed it to anyone that he had dealt an axe blow on the deceased. PW-13, on the other hand, has not said that the appellant no.1 (Subodh) had restrained him and threatened him, but has only said that the appellant</w:t>
      </w:r>
      <w:r w:rsidRPr="000B7BDD">
        <w:rPr>
          <w:sz w:val="25"/>
          <w:szCs w:val="25"/>
        </w:rPr>
        <w:t xml:space="preserve"> no.2 (Paritosh) ran after him. He also pointed out discrepancies in the evidence of PW-1 and PW-13. He submitted that while PW-1 has stated that PW-13 had accompanied him to search for the deceased, PW-13 had stated that he never accompanied PW-1 to searc</w:t>
      </w:r>
      <w:r w:rsidRPr="000B7BDD">
        <w:rPr>
          <w:sz w:val="25"/>
          <w:szCs w:val="25"/>
        </w:rPr>
        <w:t>h for the dead body of the deceased. He also pointed out some discrepancies in the evidence of PW-2 and PW-19, the Investigation Officer. He finally submitted that in this case the weapons with which the deceased was alleged to have been killed by the appe</w:t>
      </w:r>
      <w:r w:rsidRPr="000B7BDD">
        <w:rPr>
          <w:sz w:val="25"/>
          <w:szCs w:val="25"/>
        </w:rPr>
        <w:t>llants have not been recovered nor any motive of the appellants to kill the deceased proved. He argued that this is a clear case in which the appellants should have been acquitted of the charge under Section 302 read with Section 34 of the IPC.</w:t>
      </w:r>
    </w:p>
    <w:p w:rsidR="007F2270" w:rsidRPr="000B7BDD" w:rsidRDefault="00A15B3C">
      <w:pPr>
        <w:pStyle w:val="Bodytext0"/>
        <w:numPr>
          <w:ilvl w:val="0"/>
          <w:numId w:val="1"/>
        </w:numPr>
        <w:shd w:val="clear" w:color="auto" w:fill="auto"/>
        <w:spacing w:before="0" w:after="0" w:line="360" w:lineRule="exact"/>
        <w:ind w:left="20" w:right="40"/>
        <w:jc w:val="both"/>
        <w:rPr>
          <w:sz w:val="25"/>
          <w:szCs w:val="25"/>
        </w:rPr>
      </w:pPr>
      <w:r w:rsidRPr="000B7BDD">
        <w:rPr>
          <w:sz w:val="25"/>
          <w:szCs w:val="25"/>
        </w:rPr>
        <w:t xml:space="preserve"> In reply, </w:t>
      </w:r>
      <w:r w:rsidRPr="000B7BDD">
        <w:rPr>
          <w:sz w:val="25"/>
          <w:szCs w:val="25"/>
        </w:rPr>
        <w:t>Mr. Rituraj Biswas, learned counsel appearing for the State of Tripura, relied on the decision of this Court in Pratap Singh v. State of Jharkhand and Another [(2005) 3 SCC 551] to submit that the appellant no.2 was not protected by the 2000 Act and was li</w:t>
      </w:r>
      <w:r w:rsidRPr="000B7BDD">
        <w:rPr>
          <w:sz w:val="25"/>
          <w:szCs w:val="25"/>
        </w:rPr>
        <w:t>able to be punished for the offence under Section 302 read with Section 34 of the IPC being more than 16 years of age when the offence was committed. He submitted that, therefore, this Court should not disturb the conviction of the appellant no.2 by the tr</w:t>
      </w:r>
      <w:r w:rsidRPr="000B7BDD">
        <w:rPr>
          <w:sz w:val="25"/>
          <w:szCs w:val="25"/>
        </w:rPr>
        <w:t>ial court as well as by the High Court only on the ground that he was entitld to the benefit of the 2000 Act.</w:t>
      </w:r>
    </w:p>
    <w:p w:rsidR="007F2270" w:rsidRPr="000B7BDD" w:rsidRDefault="00A15B3C">
      <w:pPr>
        <w:pStyle w:val="Bodytext0"/>
        <w:numPr>
          <w:ilvl w:val="0"/>
          <w:numId w:val="1"/>
        </w:numPr>
        <w:shd w:val="clear" w:color="auto" w:fill="auto"/>
        <w:spacing w:before="0" w:after="0" w:line="360" w:lineRule="exact"/>
        <w:ind w:left="20" w:right="40"/>
        <w:jc w:val="both"/>
        <w:rPr>
          <w:sz w:val="25"/>
          <w:szCs w:val="25"/>
        </w:rPr>
      </w:pPr>
      <w:r w:rsidRPr="000B7BDD">
        <w:rPr>
          <w:sz w:val="25"/>
          <w:szCs w:val="25"/>
        </w:rPr>
        <w:t xml:space="preserve"> Regarding the appellant no.1, Mr. Biswas submitted that it is not correct as contended by the learned counsel for the appellants that the weapons</w:t>
      </w:r>
      <w:r w:rsidRPr="000B7BDD">
        <w:rPr>
          <w:sz w:val="25"/>
          <w:szCs w:val="25"/>
        </w:rPr>
        <w:t xml:space="preserve"> with which the deceased was killed by the appellants have not been recovered. He referred to the evidence of PW-19, the Investigating Officer, as well as the inquest report, Ext. P-2, to show that pursuant to the disclosure made by the appellants, one blo</w:t>
      </w:r>
      <w:r w:rsidRPr="000B7BDD">
        <w:rPr>
          <w:sz w:val="25"/>
          <w:szCs w:val="25"/>
        </w:rPr>
        <w:t>od stained wooden stick measuring three feet in length was found at a distance of two feet to the left side of the deceased’s head, a wooden stick of about two and half feet was found nearby the place where the head of the deceased was lying and one takkal</w:t>
      </w:r>
      <w:r w:rsidRPr="000B7BDD">
        <w:rPr>
          <w:sz w:val="25"/>
          <w:szCs w:val="25"/>
        </w:rPr>
        <w:t xml:space="preserve"> dao was lying at a distance of two feet to the right side of the place where the deceased’s head was lying. Mr. Biswas submitted that PW-13 had clearly stated that on the date of the incident, he and the deceased went to graze cows at about 2.00 p.m. in t</w:t>
      </w:r>
      <w:r w:rsidRPr="000B7BDD">
        <w:rPr>
          <w:sz w:val="25"/>
          <w:szCs w:val="25"/>
        </w:rPr>
        <w:t>he rubber garden and at about 4.00 p.m., the appellants went there and they were armed with an axe, lathi and gun and that while appellant no.1 dealt an axe blow on the deceased, appellant no.2 started assaulting him with a stick and thereafter the appella</w:t>
      </w:r>
      <w:r w:rsidRPr="000B7BDD">
        <w:rPr>
          <w:sz w:val="25"/>
          <w:szCs w:val="25"/>
        </w:rPr>
        <w:t>nt no.1 took a gun from the jungle and shot the deceased. He submitted that there is some corroboration of what PW-13 has stated before the court by PW-6 who has stated in his evidence that on the date of the incident at about 1.30 p.m. he found the deceas</w:t>
      </w:r>
      <w:r w:rsidRPr="000B7BDD">
        <w:rPr>
          <w:sz w:val="25"/>
          <w:szCs w:val="25"/>
        </w:rPr>
        <w:t xml:space="preserve">ed and the appellants grazing cows in Nallia Tilla. He submitted that PW-6 also identified the appellants in the court. He cited the decision of this Court in Suresh Chandra Bahri, etc. v. State of Bihar (AIR 1994 2420) in which it has been held that when </w:t>
      </w:r>
      <w:r w:rsidRPr="000B7BDD">
        <w:rPr>
          <w:sz w:val="25"/>
          <w:szCs w:val="25"/>
        </w:rPr>
        <w:t>a confessional statement of disclosure made by the accused is confirmed by recovery of incriminating articles, there is a reason to believe that the disclosure statement was true and the evidence led in that behalf is also worthy of credence.</w:t>
      </w:r>
    </w:p>
    <w:p w:rsidR="007F2270" w:rsidRPr="000B7BDD" w:rsidRDefault="00A15B3C">
      <w:pPr>
        <w:pStyle w:val="Bodytext0"/>
        <w:numPr>
          <w:ilvl w:val="0"/>
          <w:numId w:val="1"/>
        </w:numPr>
        <w:shd w:val="clear" w:color="auto" w:fill="auto"/>
        <w:tabs>
          <w:tab w:val="left" w:pos="323"/>
        </w:tabs>
        <w:spacing w:before="0" w:after="0" w:line="360" w:lineRule="exact"/>
        <w:ind w:left="20" w:right="40"/>
        <w:jc w:val="both"/>
        <w:rPr>
          <w:sz w:val="25"/>
          <w:szCs w:val="25"/>
        </w:rPr>
      </w:pPr>
      <w:r w:rsidRPr="000B7BDD">
        <w:rPr>
          <w:sz w:val="25"/>
          <w:szCs w:val="25"/>
        </w:rPr>
        <w:t>We have consi</w:t>
      </w:r>
      <w:r w:rsidRPr="000B7BDD">
        <w:rPr>
          <w:sz w:val="25"/>
          <w:szCs w:val="25"/>
        </w:rPr>
        <w:t xml:space="preserve">dered the submissions of the learned counsel for the parties with regard to the appeal of the appellant no.2 and we find that the High Court has held in Para 28 of the impugned judgment that Paritosh (appellant no.2) is satisfactorily shown to be 16 years </w:t>
      </w:r>
      <w:r w:rsidRPr="000B7BDD">
        <w:rPr>
          <w:sz w:val="25"/>
          <w:szCs w:val="25"/>
        </w:rPr>
        <w:t>of age at the time of the alleged occurrence, i.e., on 09.10.1998, and he was not a juvenile under the 1986 Act. The questions that we have to decide in the appeal of the appellant no.2 are whether the appellant no.2 was entitled to claim that he was a juv</w:t>
      </w:r>
      <w:r w:rsidRPr="000B7BDD">
        <w:rPr>
          <w:sz w:val="25"/>
          <w:szCs w:val="25"/>
        </w:rPr>
        <w:t xml:space="preserve">enile as defined in the 2000 Act, and whether his claim to juvenility has to be decided in accordance with the provisions of the 2000 Act, as amended from time to time and the rules made thereunder. Sections </w:t>
      </w:r>
      <w:hyperlink r:id="rId7" w:history="1">
        <w:r w:rsidRPr="000B7BDD">
          <w:rPr>
            <w:rStyle w:val="Hyperlink"/>
            <w:sz w:val="25"/>
            <w:szCs w:val="25"/>
          </w:rPr>
          <w:t>7A and 20 of the 2000 Act, which are relevant for deciding these questions are quoted</w:t>
        </w:r>
      </w:hyperlink>
      <w:r w:rsidRPr="000B7BDD">
        <w:rPr>
          <w:sz w:val="25"/>
          <w:szCs w:val="25"/>
        </w:rPr>
        <w:t xml:space="preserve"> </w:t>
      </w:r>
      <w:hyperlink r:id="rId8" w:history="1">
        <w:r w:rsidRPr="000B7BDD">
          <w:rPr>
            <w:rStyle w:val="Hyperlink"/>
            <w:sz w:val="25"/>
            <w:szCs w:val="25"/>
          </w:rPr>
          <w:t>hereinbelow:</w:t>
        </w:r>
      </w:hyperlink>
    </w:p>
    <w:p w:rsidR="007F2270" w:rsidRPr="000B7BDD" w:rsidRDefault="007F2270">
      <w:pPr>
        <w:pStyle w:val="Bodytext0"/>
        <w:shd w:val="clear" w:color="auto" w:fill="auto"/>
        <w:spacing w:before="0" w:after="60" w:line="360" w:lineRule="exact"/>
        <w:ind w:left="740" w:right="40"/>
        <w:jc w:val="both"/>
        <w:rPr>
          <w:sz w:val="25"/>
          <w:szCs w:val="25"/>
        </w:rPr>
      </w:pPr>
      <w:hyperlink r:id="rId9" w:history="1">
        <w:r w:rsidR="00A15B3C" w:rsidRPr="000B7BDD">
          <w:rPr>
            <w:rStyle w:val="Hyperlink"/>
            <w:sz w:val="25"/>
            <w:szCs w:val="25"/>
          </w:rPr>
          <w:t>“Section 7A. Procedure to be followed when claim of juv</w:t>
        </w:r>
        <w:r w:rsidR="00A15B3C" w:rsidRPr="000B7BDD">
          <w:rPr>
            <w:rStyle w:val="Hyperlink"/>
            <w:sz w:val="25"/>
            <w:szCs w:val="25"/>
          </w:rPr>
          <w:t>enility is raised before any</w:t>
        </w:r>
      </w:hyperlink>
      <w:r w:rsidR="00A15B3C" w:rsidRPr="000B7BDD">
        <w:rPr>
          <w:sz w:val="25"/>
          <w:szCs w:val="25"/>
        </w:rPr>
        <w:t xml:space="preserve"> </w:t>
      </w:r>
      <w:hyperlink r:id="rId10" w:history="1">
        <w:r w:rsidR="00A15B3C" w:rsidRPr="000B7BDD">
          <w:rPr>
            <w:rStyle w:val="Hyperlink"/>
            <w:sz w:val="25"/>
            <w:szCs w:val="25"/>
          </w:rPr>
          <w:t>court. - (1) Whenever a claim of juvenility is raised before any court or a court is of</w:t>
        </w:r>
      </w:hyperlink>
      <w:r w:rsidR="00A15B3C" w:rsidRPr="000B7BDD">
        <w:rPr>
          <w:sz w:val="25"/>
          <w:szCs w:val="25"/>
        </w:rPr>
        <w:t xml:space="preserve"> </w:t>
      </w:r>
      <w:hyperlink r:id="rId11" w:history="1">
        <w:r w:rsidR="00A15B3C" w:rsidRPr="000B7BDD">
          <w:rPr>
            <w:rStyle w:val="Hyperlink"/>
            <w:sz w:val="25"/>
            <w:szCs w:val="25"/>
          </w:rPr>
          <w:t>the opinion that an accused person wa</w:t>
        </w:r>
        <w:r w:rsidR="00A15B3C" w:rsidRPr="000B7BDD">
          <w:rPr>
            <w:rStyle w:val="Hyperlink"/>
            <w:sz w:val="25"/>
            <w:szCs w:val="25"/>
          </w:rPr>
          <w:t>s a juvenile on the date of commission of the</w:t>
        </w:r>
      </w:hyperlink>
      <w:r w:rsidR="00A15B3C" w:rsidRPr="000B7BDD">
        <w:rPr>
          <w:sz w:val="25"/>
          <w:szCs w:val="25"/>
        </w:rPr>
        <w:t xml:space="preserve"> </w:t>
      </w:r>
      <w:hyperlink r:id="rId12" w:history="1">
        <w:r w:rsidR="00A15B3C" w:rsidRPr="000B7BDD">
          <w:rPr>
            <w:rStyle w:val="Hyperlink"/>
            <w:sz w:val="25"/>
            <w:szCs w:val="25"/>
          </w:rPr>
          <w:t>offence, the court shall make an inquiry, take such evidence as may be necessary (but</w:t>
        </w:r>
      </w:hyperlink>
      <w:r w:rsidR="00A15B3C" w:rsidRPr="000B7BDD">
        <w:rPr>
          <w:sz w:val="25"/>
          <w:szCs w:val="25"/>
        </w:rPr>
        <w:t xml:space="preserve"> </w:t>
      </w:r>
      <w:hyperlink r:id="rId13" w:history="1">
        <w:r w:rsidR="00A15B3C" w:rsidRPr="000B7BDD">
          <w:rPr>
            <w:rStyle w:val="Hyperlink"/>
            <w:sz w:val="25"/>
            <w:szCs w:val="25"/>
          </w:rPr>
          <w:t>not an affidavit) so a</w:t>
        </w:r>
        <w:r w:rsidR="00A15B3C" w:rsidRPr="000B7BDD">
          <w:rPr>
            <w:rStyle w:val="Hyperlink"/>
            <w:sz w:val="25"/>
            <w:szCs w:val="25"/>
          </w:rPr>
          <w:t>s to determine the age of such person, and shall record a finding</w:t>
        </w:r>
      </w:hyperlink>
      <w:r w:rsidR="00A15B3C" w:rsidRPr="000B7BDD">
        <w:rPr>
          <w:sz w:val="25"/>
          <w:szCs w:val="25"/>
        </w:rPr>
        <w:t xml:space="preserve"> </w:t>
      </w:r>
      <w:hyperlink r:id="rId14" w:history="1">
        <w:r w:rsidR="00A15B3C" w:rsidRPr="000B7BDD">
          <w:rPr>
            <w:rStyle w:val="Hyperlink"/>
            <w:sz w:val="25"/>
            <w:szCs w:val="25"/>
          </w:rPr>
          <w:t>whether the person is a juvenile or a child or not, stating his age as nearly as may be:</w:t>
        </w:r>
      </w:hyperlink>
    </w:p>
    <w:p w:rsidR="007F2270" w:rsidRPr="000B7BDD" w:rsidRDefault="007F2270">
      <w:pPr>
        <w:pStyle w:val="Bodytext0"/>
        <w:shd w:val="clear" w:color="auto" w:fill="auto"/>
        <w:spacing w:before="0" w:after="60" w:line="360" w:lineRule="exact"/>
        <w:ind w:left="740" w:right="40"/>
        <w:jc w:val="both"/>
        <w:rPr>
          <w:sz w:val="25"/>
          <w:szCs w:val="25"/>
        </w:rPr>
      </w:pPr>
      <w:hyperlink r:id="rId15" w:history="1">
        <w:r w:rsidR="00A15B3C" w:rsidRPr="000B7BDD">
          <w:rPr>
            <w:rStyle w:val="Hyperlink"/>
            <w:sz w:val="25"/>
            <w:szCs w:val="25"/>
          </w:rPr>
          <w:t>Provided that a claim of juvenility may be raised before any court and it shall be</w:t>
        </w:r>
      </w:hyperlink>
      <w:r w:rsidR="00A15B3C" w:rsidRPr="000B7BDD">
        <w:rPr>
          <w:sz w:val="25"/>
          <w:szCs w:val="25"/>
        </w:rPr>
        <w:t xml:space="preserve"> </w:t>
      </w:r>
      <w:hyperlink r:id="rId16" w:history="1">
        <w:r w:rsidR="00A15B3C" w:rsidRPr="000B7BDD">
          <w:rPr>
            <w:rStyle w:val="Hyperlink"/>
            <w:sz w:val="25"/>
            <w:szCs w:val="25"/>
          </w:rPr>
          <w:t>recognised at any stage, even after final disposal of the case, and such claim shall be</w:t>
        </w:r>
      </w:hyperlink>
      <w:r w:rsidR="00A15B3C" w:rsidRPr="000B7BDD">
        <w:rPr>
          <w:sz w:val="25"/>
          <w:szCs w:val="25"/>
        </w:rPr>
        <w:t xml:space="preserve"> </w:t>
      </w:r>
      <w:hyperlink r:id="rId17" w:history="1">
        <w:r w:rsidR="00A15B3C" w:rsidRPr="000B7BDD">
          <w:rPr>
            <w:rStyle w:val="Hyperlink"/>
            <w:sz w:val="25"/>
            <w:szCs w:val="25"/>
          </w:rPr>
          <w:t>determined in terms of the provisions contained in this Act and the rules made</w:t>
        </w:r>
      </w:hyperlink>
      <w:r w:rsidR="00A15B3C" w:rsidRPr="000B7BDD">
        <w:rPr>
          <w:sz w:val="25"/>
          <w:szCs w:val="25"/>
        </w:rPr>
        <w:t xml:space="preserve"> </w:t>
      </w:r>
      <w:hyperlink r:id="rId18" w:history="1">
        <w:r w:rsidR="00A15B3C" w:rsidRPr="000B7BDD">
          <w:rPr>
            <w:rStyle w:val="Hyperlink"/>
            <w:sz w:val="25"/>
            <w:szCs w:val="25"/>
          </w:rPr>
          <w:t>thereunder, even if the juvenile has ceased to be so on or before the date of</w:t>
        </w:r>
      </w:hyperlink>
      <w:r w:rsidR="00A15B3C" w:rsidRPr="000B7BDD">
        <w:rPr>
          <w:sz w:val="25"/>
          <w:szCs w:val="25"/>
        </w:rPr>
        <w:t xml:space="preserve"> </w:t>
      </w:r>
      <w:hyperlink r:id="rId19" w:history="1">
        <w:r w:rsidR="00A15B3C" w:rsidRPr="000B7BDD">
          <w:rPr>
            <w:rStyle w:val="Hyperlink"/>
            <w:sz w:val="25"/>
            <w:szCs w:val="25"/>
          </w:rPr>
          <w:t>commencement of this Act.</w:t>
        </w:r>
      </w:hyperlink>
    </w:p>
    <w:p w:rsidR="007F2270" w:rsidRPr="000B7BDD" w:rsidRDefault="007F2270">
      <w:pPr>
        <w:pStyle w:val="Bodytext0"/>
        <w:shd w:val="clear" w:color="auto" w:fill="auto"/>
        <w:spacing w:before="0" w:after="60" w:line="360" w:lineRule="exact"/>
        <w:ind w:left="740" w:right="40"/>
        <w:jc w:val="both"/>
        <w:rPr>
          <w:sz w:val="25"/>
          <w:szCs w:val="25"/>
        </w:rPr>
      </w:pPr>
      <w:hyperlink r:id="rId20" w:history="1">
        <w:r w:rsidR="00A15B3C" w:rsidRPr="000B7BDD">
          <w:rPr>
            <w:rStyle w:val="Hyperlink"/>
            <w:sz w:val="25"/>
            <w:szCs w:val="25"/>
          </w:rPr>
          <w:t>(2) If the court finds a person to be a juvenile on the date of commission of the</w:t>
        </w:r>
      </w:hyperlink>
      <w:r w:rsidR="00A15B3C" w:rsidRPr="000B7BDD">
        <w:rPr>
          <w:sz w:val="25"/>
          <w:szCs w:val="25"/>
        </w:rPr>
        <w:t xml:space="preserve"> </w:t>
      </w:r>
      <w:hyperlink r:id="rId21" w:history="1">
        <w:r w:rsidR="00A15B3C" w:rsidRPr="000B7BDD">
          <w:rPr>
            <w:rStyle w:val="Hyperlink"/>
            <w:sz w:val="25"/>
            <w:szCs w:val="25"/>
          </w:rPr>
          <w:t>offenc</w:t>
        </w:r>
        <w:r w:rsidR="00A15B3C" w:rsidRPr="000B7BDD">
          <w:rPr>
            <w:rStyle w:val="Hyperlink"/>
            <w:sz w:val="25"/>
            <w:szCs w:val="25"/>
          </w:rPr>
          <w:t>e under sub-section (1), it shall forward the juvenile to the Board for passing</w:t>
        </w:r>
      </w:hyperlink>
      <w:r w:rsidR="00A15B3C" w:rsidRPr="000B7BDD">
        <w:rPr>
          <w:sz w:val="25"/>
          <w:szCs w:val="25"/>
        </w:rPr>
        <w:t xml:space="preserve"> </w:t>
      </w:r>
      <w:hyperlink r:id="rId22" w:history="1">
        <w:r w:rsidR="00A15B3C" w:rsidRPr="000B7BDD">
          <w:rPr>
            <w:rStyle w:val="Hyperlink"/>
            <w:sz w:val="25"/>
            <w:szCs w:val="25"/>
          </w:rPr>
          <w:t>appropriate orders and the sentence, if any, passed by a court shall be deemed to have</w:t>
        </w:r>
      </w:hyperlink>
      <w:r w:rsidR="00A15B3C" w:rsidRPr="000B7BDD">
        <w:rPr>
          <w:sz w:val="25"/>
          <w:szCs w:val="25"/>
        </w:rPr>
        <w:t xml:space="preserve"> </w:t>
      </w:r>
      <w:hyperlink r:id="rId23" w:history="1">
        <w:r w:rsidR="00A15B3C" w:rsidRPr="000B7BDD">
          <w:rPr>
            <w:rStyle w:val="Hyperlink"/>
            <w:sz w:val="25"/>
            <w:szCs w:val="25"/>
          </w:rPr>
          <w:t>no effect.</w:t>
        </w:r>
      </w:hyperlink>
    </w:p>
    <w:p w:rsidR="007F2270" w:rsidRPr="000B7BDD" w:rsidRDefault="007F2270">
      <w:pPr>
        <w:pStyle w:val="Bodytext0"/>
        <w:shd w:val="clear" w:color="auto" w:fill="auto"/>
        <w:spacing w:before="0" w:after="60" w:line="360" w:lineRule="exact"/>
        <w:ind w:left="740" w:right="40"/>
        <w:jc w:val="both"/>
        <w:rPr>
          <w:sz w:val="25"/>
          <w:szCs w:val="25"/>
        </w:rPr>
      </w:pPr>
      <w:hyperlink r:id="rId24" w:history="1">
        <w:r w:rsidR="00A15B3C" w:rsidRPr="000B7BDD">
          <w:rPr>
            <w:rStyle w:val="Hyperlink"/>
            <w:sz w:val="25"/>
            <w:szCs w:val="25"/>
          </w:rPr>
          <w:t>Section 20. Special provision in respect of pending cases.- Notwithstanding anything</w:t>
        </w:r>
      </w:hyperlink>
      <w:r w:rsidR="00A15B3C" w:rsidRPr="000B7BDD">
        <w:rPr>
          <w:sz w:val="25"/>
          <w:szCs w:val="25"/>
        </w:rPr>
        <w:t xml:space="preserve"> </w:t>
      </w:r>
      <w:hyperlink r:id="rId25" w:history="1">
        <w:r w:rsidR="00A15B3C" w:rsidRPr="000B7BDD">
          <w:rPr>
            <w:rStyle w:val="Hyperlink"/>
            <w:sz w:val="25"/>
            <w:szCs w:val="25"/>
          </w:rPr>
          <w:t>contained in this Act, all proceedings in res</w:t>
        </w:r>
        <w:r w:rsidR="00A15B3C" w:rsidRPr="000B7BDD">
          <w:rPr>
            <w:rStyle w:val="Hyperlink"/>
            <w:sz w:val="25"/>
            <w:szCs w:val="25"/>
          </w:rPr>
          <w:t>pect of a juvenile pending in any court in</w:t>
        </w:r>
      </w:hyperlink>
      <w:r w:rsidR="00A15B3C" w:rsidRPr="000B7BDD">
        <w:rPr>
          <w:sz w:val="25"/>
          <w:szCs w:val="25"/>
        </w:rPr>
        <w:t xml:space="preserve"> </w:t>
      </w:r>
      <w:hyperlink r:id="rId26" w:history="1">
        <w:r w:rsidR="00A15B3C" w:rsidRPr="000B7BDD">
          <w:rPr>
            <w:rStyle w:val="Hyperlink"/>
            <w:sz w:val="25"/>
            <w:szCs w:val="25"/>
          </w:rPr>
          <w:t>any area on the date on which this Act comes into force in that area, shall be</w:t>
        </w:r>
      </w:hyperlink>
      <w:r w:rsidR="00A15B3C" w:rsidRPr="000B7BDD">
        <w:rPr>
          <w:sz w:val="25"/>
          <w:szCs w:val="25"/>
        </w:rPr>
        <w:t xml:space="preserve"> </w:t>
      </w:r>
      <w:hyperlink r:id="rId27" w:history="1">
        <w:r w:rsidR="00A15B3C" w:rsidRPr="000B7BDD">
          <w:rPr>
            <w:rStyle w:val="Hyperlink"/>
            <w:sz w:val="25"/>
            <w:szCs w:val="25"/>
          </w:rPr>
          <w:t>continued in that court as if th</w:t>
        </w:r>
        <w:r w:rsidR="00A15B3C" w:rsidRPr="000B7BDD">
          <w:rPr>
            <w:rStyle w:val="Hyperlink"/>
            <w:sz w:val="25"/>
            <w:szCs w:val="25"/>
          </w:rPr>
          <w:t>is Act had not been passed and if the court finds that the</w:t>
        </w:r>
      </w:hyperlink>
      <w:r w:rsidR="00A15B3C" w:rsidRPr="000B7BDD">
        <w:rPr>
          <w:sz w:val="25"/>
          <w:szCs w:val="25"/>
        </w:rPr>
        <w:t xml:space="preserve"> </w:t>
      </w:r>
      <w:hyperlink r:id="rId28" w:history="1">
        <w:r w:rsidR="00A15B3C" w:rsidRPr="000B7BDD">
          <w:rPr>
            <w:rStyle w:val="Hyperlink"/>
            <w:sz w:val="25"/>
            <w:szCs w:val="25"/>
          </w:rPr>
          <w:t>juvenile has committed an offence, it shall record such finding and instead of passing</w:t>
        </w:r>
      </w:hyperlink>
      <w:r w:rsidR="00A15B3C" w:rsidRPr="000B7BDD">
        <w:rPr>
          <w:sz w:val="25"/>
          <w:szCs w:val="25"/>
        </w:rPr>
        <w:t xml:space="preserve"> </w:t>
      </w:r>
      <w:hyperlink r:id="rId29" w:history="1">
        <w:r w:rsidR="00A15B3C" w:rsidRPr="000B7BDD">
          <w:rPr>
            <w:rStyle w:val="Hyperlink"/>
            <w:sz w:val="25"/>
            <w:szCs w:val="25"/>
          </w:rPr>
          <w:t>any sent</w:t>
        </w:r>
        <w:r w:rsidR="00A15B3C" w:rsidRPr="000B7BDD">
          <w:rPr>
            <w:rStyle w:val="Hyperlink"/>
            <w:sz w:val="25"/>
            <w:szCs w:val="25"/>
          </w:rPr>
          <w:t>ence in respect of the juvenile, forward the juvenile to the Board which shall</w:t>
        </w:r>
      </w:hyperlink>
      <w:r w:rsidR="00A15B3C" w:rsidRPr="000B7BDD">
        <w:rPr>
          <w:sz w:val="25"/>
          <w:szCs w:val="25"/>
        </w:rPr>
        <w:t xml:space="preserve"> </w:t>
      </w:r>
      <w:hyperlink r:id="rId30" w:history="1">
        <w:r w:rsidR="00A15B3C" w:rsidRPr="000B7BDD">
          <w:rPr>
            <w:rStyle w:val="Hyperlink"/>
            <w:sz w:val="25"/>
            <w:szCs w:val="25"/>
          </w:rPr>
          <w:t>pass orders in respect of that juvenile in accordance with the provisions of this Act as</w:t>
        </w:r>
      </w:hyperlink>
      <w:r w:rsidR="00A15B3C" w:rsidRPr="000B7BDD">
        <w:rPr>
          <w:sz w:val="25"/>
          <w:szCs w:val="25"/>
        </w:rPr>
        <w:t xml:space="preserve"> </w:t>
      </w:r>
      <w:hyperlink r:id="rId31" w:history="1">
        <w:r w:rsidR="00A15B3C" w:rsidRPr="000B7BDD">
          <w:rPr>
            <w:rStyle w:val="Hyperlink"/>
            <w:sz w:val="25"/>
            <w:szCs w:val="25"/>
          </w:rPr>
          <w:t>if it had been satisfied on inquiry under this Act that a juvenile has committed the</w:t>
        </w:r>
      </w:hyperlink>
      <w:r w:rsidR="00A15B3C" w:rsidRPr="000B7BDD">
        <w:rPr>
          <w:sz w:val="25"/>
          <w:szCs w:val="25"/>
        </w:rPr>
        <w:t xml:space="preserve"> </w:t>
      </w:r>
      <w:hyperlink r:id="rId32" w:history="1">
        <w:r w:rsidR="00A15B3C" w:rsidRPr="000B7BDD">
          <w:rPr>
            <w:rStyle w:val="Hyperlink"/>
            <w:sz w:val="25"/>
            <w:szCs w:val="25"/>
          </w:rPr>
          <w:t>offence.</w:t>
        </w:r>
      </w:hyperlink>
    </w:p>
    <w:p w:rsidR="007F2270" w:rsidRPr="000B7BDD" w:rsidRDefault="007F2270">
      <w:pPr>
        <w:pStyle w:val="Bodytext0"/>
        <w:shd w:val="clear" w:color="auto" w:fill="auto"/>
        <w:spacing w:before="0" w:after="60" w:line="360" w:lineRule="exact"/>
        <w:ind w:left="740" w:right="40"/>
        <w:jc w:val="both"/>
        <w:rPr>
          <w:sz w:val="25"/>
          <w:szCs w:val="25"/>
        </w:rPr>
      </w:pPr>
      <w:hyperlink r:id="rId33" w:history="1">
        <w:r w:rsidR="00A15B3C" w:rsidRPr="000B7BDD">
          <w:rPr>
            <w:rStyle w:val="Hyperlink"/>
            <w:sz w:val="25"/>
            <w:szCs w:val="25"/>
          </w:rPr>
          <w:t xml:space="preserve">Provided that the Board may, for any adequate </w:t>
        </w:r>
        <w:r w:rsidR="00A15B3C" w:rsidRPr="000B7BDD">
          <w:rPr>
            <w:rStyle w:val="Hyperlink"/>
            <w:sz w:val="25"/>
            <w:szCs w:val="25"/>
          </w:rPr>
          <w:t>and special reason to be mentioned in</w:t>
        </w:r>
      </w:hyperlink>
      <w:r w:rsidR="00A15B3C" w:rsidRPr="000B7BDD">
        <w:rPr>
          <w:sz w:val="25"/>
          <w:szCs w:val="25"/>
        </w:rPr>
        <w:t xml:space="preserve"> </w:t>
      </w:r>
      <w:hyperlink r:id="rId34" w:history="1">
        <w:r w:rsidR="00A15B3C" w:rsidRPr="000B7BDD">
          <w:rPr>
            <w:rStyle w:val="Hyperlink"/>
            <w:sz w:val="25"/>
            <w:szCs w:val="25"/>
          </w:rPr>
          <w:t>the order, review the case and pass appropriate order in the interest of such juvenile.</w:t>
        </w:r>
      </w:hyperlink>
    </w:p>
    <w:p w:rsidR="007F2270" w:rsidRPr="000B7BDD" w:rsidRDefault="007F2270">
      <w:pPr>
        <w:pStyle w:val="Bodytext0"/>
        <w:shd w:val="clear" w:color="auto" w:fill="auto"/>
        <w:spacing w:before="0" w:after="60" w:line="360" w:lineRule="exact"/>
        <w:ind w:left="740" w:right="40"/>
        <w:jc w:val="both"/>
        <w:rPr>
          <w:sz w:val="25"/>
          <w:szCs w:val="25"/>
        </w:rPr>
      </w:pPr>
      <w:hyperlink r:id="rId35" w:history="1">
        <w:r w:rsidR="00A15B3C" w:rsidRPr="000B7BDD">
          <w:rPr>
            <w:rStyle w:val="Hyperlink"/>
            <w:sz w:val="25"/>
            <w:szCs w:val="25"/>
          </w:rPr>
          <w:t>Explanation.— In all pending</w:t>
        </w:r>
        <w:r w:rsidR="00A15B3C" w:rsidRPr="000B7BDD">
          <w:rPr>
            <w:rStyle w:val="Hyperlink"/>
            <w:sz w:val="25"/>
            <w:szCs w:val="25"/>
          </w:rPr>
          <w:t xml:space="preserve"> cases including trial, revision, appeal or any other</w:t>
        </w:r>
      </w:hyperlink>
      <w:r w:rsidR="00A15B3C" w:rsidRPr="000B7BDD">
        <w:rPr>
          <w:sz w:val="25"/>
          <w:szCs w:val="25"/>
        </w:rPr>
        <w:t xml:space="preserve"> </w:t>
      </w:r>
      <w:hyperlink r:id="rId36" w:history="1">
        <w:r w:rsidR="00A15B3C" w:rsidRPr="000B7BDD">
          <w:rPr>
            <w:rStyle w:val="Hyperlink"/>
            <w:sz w:val="25"/>
            <w:szCs w:val="25"/>
          </w:rPr>
          <w:t>criminal proceedings in respect of a juvenile in conflict with law, in any court, the</w:t>
        </w:r>
      </w:hyperlink>
      <w:r w:rsidR="00A15B3C" w:rsidRPr="000B7BDD">
        <w:rPr>
          <w:sz w:val="25"/>
          <w:szCs w:val="25"/>
        </w:rPr>
        <w:t xml:space="preserve"> </w:t>
      </w:r>
      <w:hyperlink r:id="rId37" w:history="1">
        <w:r w:rsidR="00A15B3C" w:rsidRPr="000B7BDD">
          <w:rPr>
            <w:rStyle w:val="Hyperlink"/>
            <w:sz w:val="25"/>
            <w:szCs w:val="25"/>
          </w:rPr>
          <w:t xml:space="preserve">determination </w:t>
        </w:r>
        <w:r w:rsidR="00A15B3C" w:rsidRPr="000B7BDD">
          <w:rPr>
            <w:rStyle w:val="Hyperlink"/>
            <w:sz w:val="25"/>
            <w:szCs w:val="25"/>
          </w:rPr>
          <w:t>of juvenility of such a juvenile shall be in terms of clause (l) of section</w:t>
        </w:r>
      </w:hyperlink>
      <w:r w:rsidR="00A15B3C" w:rsidRPr="000B7BDD">
        <w:rPr>
          <w:sz w:val="25"/>
          <w:szCs w:val="25"/>
        </w:rPr>
        <w:t xml:space="preserve"> </w:t>
      </w:r>
      <w:hyperlink r:id="rId38" w:history="1">
        <w:r w:rsidR="00A15B3C" w:rsidRPr="000B7BDD">
          <w:rPr>
            <w:rStyle w:val="Hyperlink"/>
            <w:sz w:val="25"/>
            <w:szCs w:val="25"/>
          </w:rPr>
          <w:t>2, even if the juvenile ceases to be so on or before the date of commencement of this</w:t>
        </w:r>
      </w:hyperlink>
      <w:r w:rsidR="00A15B3C" w:rsidRPr="000B7BDD">
        <w:rPr>
          <w:sz w:val="25"/>
          <w:szCs w:val="25"/>
        </w:rPr>
        <w:t xml:space="preserve"> </w:t>
      </w:r>
      <w:hyperlink r:id="rId39" w:history="1">
        <w:r w:rsidR="00A15B3C" w:rsidRPr="000B7BDD">
          <w:rPr>
            <w:rStyle w:val="Hyperlink"/>
            <w:sz w:val="25"/>
            <w:szCs w:val="25"/>
          </w:rPr>
          <w:t>Act and the provisions of this Act shall apply as if the said provisions had been in</w:t>
        </w:r>
      </w:hyperlink>
      <w:r w:rsidR="00A15B3C" w:rsidRPr="000B7BDD">
        <w:rPr>
          <w:sz w:val="25"/>
          <w:szCs w:val="25"/>
        </w:rPr>
        <w:t xml:space="preserve"> </w:t>
      </w:r>
      <w:hyperlink r:id="rId40" w:history="1">
        <w:r w:rsidR="00A15B3C" w:rsidRPr="000B7BDD">
          <w:rPr>
            <w:rStyle w:val="Hyperlink"/>
            <w:sz w:val="25"/>
            <w:szCs w:val="25"/>
          </w:rPr>
          <w:t>force, for all purposes and at all material times when the alleged offence was</w:t>
        </w:r>
      </w:hyperlink>
      <w:r w:rsidR="00A15B3C" w:rsidRPr="000B7BDD">
        <w:rPr>
          <w:sz w:val="25"/>
          <w:szCs w:val="25"/>
        </w:rPr>
        <w:t xml:space="preserve"> </w:t>
      </w:r>
      <w:hyperlink r:id="rId41" w:history="1">
        <w:r w:rsidR="00A15B3C" w:rsidRPr="000B7BDD">
          <w:rPr>
            <w:rStyle w:val="Hyperlink"/>
            <w:sz w:val="25"/>
            <w:szCs w:val="25"/>
          </w:rPr>
          <w:t>committed.”</w:t>
        </w:r>
      </w:hyperlink>
    </w:p>
    <w:p w:rsidR="007F2270" w:rsidRPr="000B7BDD" w:rsidRDefault="007F2270">
      <w:pPr>
        <w:pStyle w:val="Bodytext0"/>
        <w:numPr>
          <w:ilvl w:val="0"/>
          <w:numId w:val="1"/>
        </w:numPr>
        <w:shd w:val="clear" w:color="auto" w:fill="auto"/>
        <w:tabs>
          <w:tab w:val="left" w:pos="487"/>
        </w:tabs>
        <w:spacing w:before="0" w:after="0" w:line="360" w:lineRule="exact"/>
        <w:ind w:left="40" w:right="40"/>
        <w:jc w:val="both"/>
        <w:rPr>
          <w:sz w:val="25"/>
          <w:szCs w:val="25"/>
        </w:rPr>
      </w:pPr>
      <w:hyperlink r:id="rId42" w:history="1">
        <w:r w:rsidR="00A15B3C" w:rsidRPr="000B7BDD">
          <w:rPr>
            <w:rStyle w:val="Hyperlink"/>
            <w:sz w:val="25"/>
            <w:szCs w:val="25"/>
          </w:rPr>
          <w:t>Section 7A and the proviso and the Explanation in the aforesaid Section 20 quoted above</w:t>
        </w:r>
      </w:hyperlink>
      <w:r w:rsidR="00A15B3C" w:rsidRPr="000B7BDD">
        <w:rPr>
          <w:sz w:val="25"/>
          <w:szCs w:val="25"/>
        </w:rPr>
        <w:t xml:space="preserve"> </w:t>
      </w:r>
      <w:hyperlink r:id="rId43" w:history="1">
        <w:r w:rsidR="00A15B3C" w:rsidRPr="000B7BDD">
          <w:rPr>
            <w:rStyle w:val="Hyperlink"/>
            <w:sz w:val="25"/>
            <w:szCs w:val="25"/>
          </w:rPr>
          <w:t xml:space="preserve">were inserted by the Amendment Act of </w:t>
        </w:r>
        <w:r w:rsidR="00A15B3C" w:rsidRPr="000B7BDD">
          <w:rPr>
            <w:rStyle w:val="Hyperlink"/>
            <w:sz w:val="25"/>
            <w:szCs w:val="25"/>
          </w:rPr>
          <w:t>2006, w.e.f. 22.08.2006 and before the insertion of</w:t>
        </w:r>
      </w:hyperlink>
      <w:r w:rsidR="00A15B3C" w:rsidRPr="000B7BDD">
        <w:rPr>
          <w:sz w:val="25"/>
          <w:szCs w:val="25"/>
        </w:rPr>
        <w:t xml:space="preserve"> </w:t>
      </w:r>
      <w:hyperlink r:id="rId44" w:history="1">
        <w:r w:rsidR="00A15B3C" w:rsidRPr="000B7BDD">
          <w:rPr>
            <w:rStyle w:val="Hyperlink"/>
            <w:sz w:val="25"/>
            <w:szCs w:val="25"/>
          </w:rPr>
          <w:t>theSection 7A and proviso and the Explanation in Section 20, this Court delivered the</w:t>
        </w:r>
      </w:hyperlink>
      <w:r w:rsidR="00A15B3C" w:rsidRPr="000B7BDD">
        <w:rPr>
          <w:sz w:val="25"/>
          <w:szCs w:val="25"/>
        </w:rPr>
        <w:t xml:space="preserve"> </w:t>
      </w:r>
      <w:hyperlink r:id="rId45" w:history="1">
        <w:r w:rsidR="00A15B3C" w:rsidRPr="000B7BDD">
          <w:rPr>
            <w:rStyle w:val="Hyperlink"/>
            <w:sz w:val="25"/>
            <w:szCs w:val="25"/>
          </w:rPr>
          <w:t xml:space="preserve">judgment inPratap </w:t>
        </w:r>
        <w:r w:rsidR="00A15B3C" w:rsidRPr="000B7BDD">
          <w:rPr>
            <w:rStyle w:val="Hyperlink"/>
            <w:sz w:val="25"/>
            <w:szCs w:val="25"/>
          </w:rPr>
          <w:t>Singh v. State of Jharkhand and Another (supra) on 12.02.2005 cited by</w:t>
        </w:r>
      </w:hyperlink>
      <w:r w:rsidR="00A15B3C" w:rsidRPr="000B7BDD">
        <w:rPr>
          <w:sz w:val="25"/>
          <w:szCs w:val="25"/>
        </w:rPr>
        <w:t xml:space="preserve"> </w:t>
      </w:r>
      <w:hyperlink r:id="rId46" w:history="1">
        <w:r w:rsidR="00A15B3C" w:rsidRPr="000B7BDD">
          <w:rPr>
            <w:rStyle w:val="Hyperlink"/>
            <w:sz w:val="25"/>
            <w:szCs w:val="25"/>
          </w:rPr>
          <w:t>Mr. Biswas. The judgment of this Court in Pratap Singh v. State of Jharkhand and</w:t>
        </w:r>
      </w:hyperlink>
      <w:r w:rsidR="00A15B3C" w:rsidRPr="000B7BDD">
        <w:rPr>
          <w:sz w:val="25"/>
          <w:szCs w:val="25"/>
        </w:rPr>
        <w:t xml:space="preserve"> </w:t>
      </w:r>
      <w:hyperlink r:id="rId47" w:history="1">
        <w:r w:rsidR="00A15B3C" w:rsidRPr="000B7BDD">
          <w:rPr>
            <w:rStyle w:val="Hyperlink"/>
            <w:sz w:val="25"/>
            <w:szCs w:val="25"/>
          </w:rPr>
          <w:t>Anot</w:t>
        </w:r>
        <w:r w:rsidR="00A15B3C" w:rsidRPr="000B7BDD">
          <w:rPr>
            <w:rStyle w:val="Hyperlink"/>
            <w:sz w:val="25"/>
            <w:szCs w:val="25"/>
          </w:rPr>
          <w:t>her (supra) therefore is of no assistance to decide this matter. After the insertion</w:t>
        </w:r>
      </w:hyperlink>
      <w:r w:rsidR="00A15B3C" w:rsidRPr="000B7BDD">
        <w:rPr>
          <w:sz w:val="25"/>
          <w:szCs w:val="25"/>
        </w:rPr>
        <w:t xml:space="preserve"> </w:t>
      </w:r>
      <w:hyperlink r:id="rId48" w:history="1">
        <w:r w:rsidR="00A15B3C" w:rsidRPr="000B7BDD">
          <w:rPr>
            <w:rStyle w:val="Hyperlink"/>
            <w:sz w:val="25"/>
            <w:szCs w:val="25"/>
          </w:rPr>
          <w:t>of Section 7A and the proviso and explanation in Section 20 in the 2000 Act, this Court</w:t>
        </w:r>
      </w:hyperlink>
      <w:r w:rsidR="00A15B3C" w:rsidRPr="000B7BDD">
        <w:rPr>
          <w:sz w:val="25"/>
          <w:szCs w:val="25"/>
        </w:rPr>
        <w:t xml:space="preserve"> </w:t>
      </w:r>
      <w:hyperlink r:id="rId49" w:history="1">
        <w:r w:rsidR="00A15B3C" w:rsidRPr="000B7BDD">
          <w:rPr>
            <w:rStyle w:val="Hyperlink"/>
            <w:sz w:val="25"/>
            <w:szCs w:val="25"/>
          </w:rPr>
          <w:t>delivered the judgment in Hari Ram v. State of Rajasthan and Another (supra). The facts of</w:t>
        </w:r>
      </w:hyperlink>
      <w:r w:rsidR="00A15B3C" w:rsidRPr="000B7BDD">
        <w:rPr>
          <w:sz w:val="25"/>
          <w:szCs w:val="25"/>
        </w:rPr>
        <w:t xml:space="preserve"> </w:t>
      </w:r>
      <w:hyperlink r:id="rId50" w:history="1">
        <w:r w:rsidR="00A15B3C" w:rsidRPr="000B7BDD">
          <w:rPr>
            <w:rStyle w:val="Hyperlink"/>
            <w:sz w:val="25"/>
            <w:szCs w:val="25"/>
          </w:rPr>
          <w:t>this case were that the accused committed the offences punishable under Sections</w:t>
        </w:r>
      </w:hyperlink>
      <w:r w:rsidR="00A15B3C" w:rsidRPr="000B7BDD">
        <w:rPr>
          <w:sz w:val="25"/>
          <w:szCs w:val="25"/>
        </w:rPr>
        <w:t xml:space="preserve"> </w:t>
      </w:r>
      <w:hyperlink r:id="rId51" w:history="1">
        <w:r w:rsidR="00A15B3C" w:rsidRPr="000B7BDD">
          <w:rPr>
            <w:rStyle w:val="Hyperlink"/>
            <w:sz w:val="25"/>
            <w:szCs w:val="25"/>
          </w:rPr>
          <w:t>148, 302, 149, 325/149 and 323/149 of the IPC on 30.11.1998. The date of birth of the</w:t>
        </w:r>
      </w:hyperlink>
      <w:r w:rsidR="00A15B3C" w:rsidRPr="000B7BDD">
        <w:rPr>
          <w:sz w:val="25"/>
          <w:szCs w:val="25"/>
        </w:rPr>
        <w:t xml:space="preserve"> </w:t>
      </w:r>
      <w:hyperlink r:id="rId52" w:history="1">
        <w:r w:rsidR="00A15B3C" w:rsidRPr="000B7BDD">
          <w:rPr>
            <w:rStyle w:val="Hyperlink"/>
            <w:sz w:val="25"/>
            <w:szCs w:val="25"/>
          </w:rPr>
          <w:t>accused was 17.10.1982. The medical examination of the accused conducted by the Medical</w:t>
        </w:r>
      </w:hyperlink>
      <w:r w:rsidR="00A15B3C" w:rsidRPr="000B7BDD">
        <w:rPr>
          <w:sz w:val="25"/>
          <w:szCs w:val="25"/>
        </w:rPr>
        <w:t xml:space="preserve"> </w:t>
      </w:r>
      <w:hyperlink r:id="rId53" w:history="1">
        <w:r w:rsidR="00A15B3C" w:rsidRPr="000B7BDD">
          <w:rPr>
            <w:rStyle w:val="Hyperlink"/>
            <w:sz w:val="25"/>
            <w:szCs w:val="25"/>
          </w:rPr>
          <w:t>Board indicated his age to be between 16-17 years when he committed the offence on</w:t>
        </w:r>
      </w:hyperlink>
      <w:r w:rsidR="00A15B3C" w:rsidRPr="000B7BDD">
        <w:rPr>
          <w:sz w:val="25"/>
          <w:szCs w:val="25"/>
        </w:rPr>
        <w:t xml:space="preserve"> </w:t>
      </w:r>
      <w:hyperlink r:id="rId54" w:history="1">
        <w:r w:rsidR="00A15B3C" w:rsidRPr="000B7BDD">
          <w:rPr>
            <w:rStyle w:val="Hyperlink"/>
            <w:sz w:val="25"/>
            <w:szCs w:val="25"/>
          </w:rPr>
          <w:t>30.11.1998. The High Court held that on the date of the incident the acc</w:t>
        </w:r>
        <w:r w:rsidR="00A15B3C" w:rsidRPr="000B7BDD">
          <w:rPr>
            <w:rStyle w:val="Hyperlink"/>
            <w:sz w:val="25"/>
            <w:szCs w:val="25"/>
          </w:rPr>
          <w:t>used was about 16</w:t>
        </w:r>
      </w:hyperlink>
      <w:r w:rsidR="00A15B3C" w:rsidRPr="000B7BDD">
        <w:rPr>
          <w:sz w:val="25"/>
          <w:szCs w:val="25"/>
        </w:rPr>
        <w:t xml:space="preserve"> </w:t>
      </w:r>
      <w:hyperlink r:id="rId55" w:history="1">
        <w:r w:rsidR="00A15B3C" w:rsidRPr="000B7BDD">
          <w:rPr>
            <w:rStyle w:val="Hyperlink"/>
            <w:sz w:val="25"/>
            <w:szCs w:val="25"/>
          </w:rPr>
          <w:t>years of age and was not a juvenile under the 2000 Act and the provisions of 2000 Act were,</w:t>
        </w:r>
      </w:hyperlink>
      <w:r w:rsidR="00A15B3C" w:rsidRPr="000B7BDD">
        <w:rPr>
          <w:sz w:val="25"/>
          <w:szCs w:val="25"/>
        </w:rPr>
        <w:t xml:space="preserve"> </w:t>
      </w:r>
      <w:hyperlink r:id="rId56" w:history="1">
        <w:r w:rsidR="00A15B3C" w:rsidRPr="000B7BDD">
          <w:rPr>
            <w:rStyle w:val="Hyperlink"/>
            <w:sz w:val="25"/>
            <w:szCs w:val="25"/>
          </w:rPr>
          <w:t>therefore, not applicable to him. This Court s</w:t>
        </w:r>
        <w:r w:rsidR="00A15B3C" w:rsidRPr="000B7BDD">
          <w:rPr>
            <w:rStyle w:val="Hyperlink"/>
            <w:sz w:val="25"/>
            <w:szCs w:val="25"/>
          </w:rPr>
          <w:t>et aside the order of the High Court and held</w:t>
        </w:r>
      </w:hyperlink>
      <w:r w:rsidR="00A15B3C" w:rsidRPr="000B7BDD">
        <w:rPr>
          <w:sz w:val="25"/>
          <w:szCs w:val="25"/>
        </w:rPr>
        <w:t xml:space="preserve"> </w:t>
      </w:r>
      <w:hyperlink r:id="rId57" w:history="1">
        <w:r w:rsidR="00A15B3C" w:rsidRPr="000B7BDD">
          <w:rPr>
            <w:rStyle w:val="Hyperlink"/>
            <w:sz w:val="25"/>
            <w:szCs w:val="25"/>
          </w:rPr>
          <w:t>that the accused had not attained the age of 18 years on the date of the commission of the</w:t>
        </w:r>
      </w:hyperlink>
      <w:r w:rsidR="00A15B3C" w:rsidRPr="000B7BDD">
        <w:rPr>
          <w:sz w:val="25"/>
          <w:szCs w:val="25"/>
        </w:rPr>
        <w:t xml:space="preserve"> </w:t>
      </w:r>
      <w:hyperlink r:id="rId58" w:history="1">
        <w:r w:rsidR="00A15B3C" w:rsidRPr="000B7BDD">
          <w:rPr>
            <w:rStyle w:val="Hyperlink"/>
            <w:sz w:val="25"/>
            <w:szCs w:val="25"/>
          </w:rPr>
          <w:t xml:space="preserve">offence and was </w:t>
        </w:r>
        <w:r w:rsidR="00A15B3C" w:rsidRPr="000B7BDD">
          <w:rPr>
            <w:rStyle w:val="Hyperlink"/>
            <w:sz w:val="25"/>
            <w:szCs w:val="25"/>
          </w:rPr>
          <w:t>entitled to the benefit of the 2000 Act, as if the provisions of Section</w:t>
        </w:r>
      </w:hyperlink>
      <w:r w:rsidR="00A15B3C" w:rsidRPr="000B7BDD">
        <w:rPr>
          <w:sz w:val="25"/>
          <w:szCs w:val="25"/>
        </w:rPr>
        <w:t xml:space="preserve"> </w:t>
      </w:r>
      <w:hyperlink r:id="rId59" w:history="1">
        <w:r w:rsidR="00A15B3C" w:rsidRPr="000B7BDD">
          <w:rPr>
            <w:rStyle w:val="Hyperlink"/>
            <w:sz w:val="25"/>
            <w:szCs w:val="25"/>
          </w:rPr>
          <w:t>2(k) thereof had always been in existence even during the operation of the 1986 Act by virtue</w:t>
        </w:r>
      </w:hyperlink>
      <w:r w:rsidR="00A15B3C" w:rsidRPr="000B7BDD">
        <w:rPr>
          <w:sz w:val="25"/>
          <w:szCs w:val="25"/>
        </w:rPr>
        <w:t xml:space="preserve"> </w:t>
      </w:r>
      <w:hyperlink r:id="rId60" w:history="1">
        <w:r w:rsidR="00A15B3C" w:rsidRPr="000B7BDD">
          <w:rPr>
            <w:rStyle w:val="Hyperlink"/>
            <w:sz w:val="25"/>
            <w:szCs w:val="25"/>
          </w:rPr>
          <w:t>of Section 20 of the 2000 Act as amended by the Amendment Act of 2006 and accordingly</w:t>
        </w:r>
      </w:hyperlink>
      <w:r w:rsidR="00A15B3C" w:rsidRPr="000B7BDD">
        <w:rPr>
          <w:sz w:val="25"/>
          <w:szCs w:val="25"/>
        </w:rPr>
        <w:t xml:space="preserve"> </w:t>
      </w:r>
      <w:hyperlink r:id="rId61" w:history="1">
        <w:r w:rsidR="00A15B3C" w:rsidRPr="000B7BDD">
          <w:rPr>
            <w:rStyle w:val="Hyperlink"/>
            <w:sz w:val="25"/>
            <w:szCs w:val="25"/>
          </w:rPr>
          <w:t>remitted the case of the accused to the Juvenile Justice Board, Ajmer, for disposal in</w:t>
        </w:r>
      </w:hyperlink>
      <w:r w:rsidR="00A15B3C" w:rsidRPr="000B7BDD">
        <w:rPr>
          <w:sz w:val="25"/>
          <w:szCs w:val="25"/>
        </w:rPr>
        <w:t xml:space="preserve"> </w:t>
      </w:r>
      <w:hyperlink r:id="rId62" w:history="1">
        <w:r w:rsidR="00A15B3C" w:rsidRPr="000B7BDD">
          <w:rPr>
            <w:rStyle w:val="Hyperlink"/>
            <w:sz w:val="25"/>
            <w:szCs w:val="25"/>
          </w:rPr>
          <w:t>accordance with law. Considering the aforesaid judgment of this Court in Hari Ram v. State</w:t>
        </w:r>
      </w:hyperlink>
      <w:r w:rsidR="00A15B3C" w:rsidRPr="000B7BDD">
        <w:rPr>
          <w:sz w:val="25"/>
          <w:szCs w:val="25"/>
        </w:rPr>
        <w:t xml:space="preserve"> </w:t>
      </w:r>
      <w:hyperlink r:id="rId63" w:history="1">
        <w:r w:rsidR="00A15B3C" w:rsidRPr="000B7BDD">
          <w:rPr>
            <w:rStyle w:val="Hyperlink"/>
            <w:sz w:val="25"/>
            <w:szCs w:val="25"/>
          </w:rPr>
          <w:t>of Rajasthan and Another (supra) and the provisions of Section 7A and 20 of the 20</w:t>
        </w:r>
        <w:r w:rsidR="00A15B3C" w:rsidRPr="000B7BDD">
          <w:rPr>
            <w:rStyle w:val="Hyperlink"/>
            <w:sz w:val="25"/>
            <w:szCs w:val="25"/>
          </w:rPr>
          <w:t>00 Act</w:t>
        </w:r>
      </w:hyperlink>
      <w:r w:rsidR="00A15B3C" w:rsidRPr="000B7BDD">
        <w:rPr>
          <w:sz w:val="25"/>
          <w:szCs w:val="25"/>
        </w:rPr>
        <w:t xml:space="preserve"> </w:t>
      </w:r>
      <w:hyperlink r:id="rId64" w:history="1">
        <w:r w:rsidR="00A15B3C" w:rsidRPr="000B7BDD">
          <w:rPr>
            <w:rStyle w:val="Hyperlink"/>
            <w:sz w:val="25"/>
            <w:szCs w:val="25"/>
          </w:rPr>
          <w:t>and considering that the appellant no.2 is below 18 years of age as per his birth certificate,</w:t>
        </w:r>
      </w:hyperlink>
      <w:r w:rsidR="00A15B3C" w:rsidRPr="000B7BDD">
        <w:rPr>
          <w:sz w:val="25"/>
          <w:szCs w:val="25"/>
        </w:rPr>
        <w:t xml:space="preserve"> </w:t>
      </w:r>
      <w:hyperlink r:id="rId65" w:history="1">
        <w:r w:rsidR="00A15B3C" w:rsidRPr="000B7BDD">
          <w:rPr>
            <w:rStyle w:val="Hyperlink"/>
            <w:sz w:val="25"/>
            <w:szCs w:val="25"/>
          </w:rPr>
          <w:t>the impugned judgment of the High Court qua the appe</w:t>
        </w:r>
        <w:r w:rsidR="00A15B3C" w:rsidRPr="000B7BDD">
          <w:rPr>
            <w:rStyle w:val="Hyperlink"/>
            <w:sz w:val="25"/>
            <w:szCs w:val="25"/>
          </w:rPr>
          <w:t>llant no.2 will have to be set aside and</w:t>
        </w:r>
      </w:hyperlink>
      <w:r w:rsidR="00A15B3C" w:rsidRPr="000B7BDD">
        <w:rPr>
          <w:sz w:val="25"/>
          <w:szCs w:val="25"/>
        </w:rPr>
        <w:t xml:space="preserve"> </w:t>
      </w:r>
      <w:hyperlink r:id="rId66" w:history="1">
        <w:r w:rsidR="00A15B3C" w:rsidRPr="000B7BDD">
          <w:rPr>
            <w:rStyle w:val="Hyperlink"/>
            <w:sz w:val="25"/>
            <w:szCs w:val="25"/>
          </w:rPr>
          <w:t>the case will have to be remitted to the concerned Juvenile Justice Board, of North Tripura</w:t>
        </w:r>
      </w:hyperlink>
      <w:r w:rsidR="00A15B3C" w:rsidRPr="000B7BDD">
        <w:rPr>
          <w:sz w:val="25"/>
          <w:szCs w:val="25"/>
        </w:rPr>
        <w:t xml:space="preserve"> </w:t>
      </w:r>
      <w:hyperlink r:id="rId67" w:history="1">
        <w:r w:rsidR="00A15B3C" w:rsidRPr="000B7BDD">
          <w:rPr>
            <w:rStyle w:val="Hyperlink"/>
            <w:sz w:val="25"/>
            <w:szCs w:val="25"/>
          </w:rPr>
          <w:t>district for disposal</w:t>
        </w:r>
        <w:r w:rsidR="00A15B3C" w:rsidRPr="000B7BDD">
          <w:rPr>
            <w:rStyle w:val="Hyperlink"/>
            <w:sz w:val="25"/>
            <w:szCs w:val="25"/>
          </w:rPr>
          <w:t xml:space="preserve"> of his case in accordance with the provisions of the said Act.</w:t>
        </w:r>
      </w:hyperlink>
    </w:p>
    <w:p w:rsidR="007F2270" w:rsidRPr="000B7BDD" w:rsidRDefault="007F2270">
      <w:pPr>
        <w:pStyle w:val="Bodytext0"/>
        <w:numPr>
          <w:ilvl w:val="0"/>
          <w:numId w:val="1"/>
        </w:numPr>
        <w:shd w:val="clear" w:color="auto" w:fill="auto"/>
        <w:spacing w:before="0" w:after="0" w:line="360" w:lineRule="exact"/>
        <w:ind w:left="20" w:right="40"/>
        <w:jc w:val="both"/>
        <w:rPr>
          <w:sz w:val="25"/>
          <w:szCs w:val="25"/>
        </w:rPr>
      </w:pPr>
      <w:hyperlink r:id="rId68" w:history="1">
        <w:r w:rsidR="00A15B3C" w:rsidRPr="000B7BDD">
          <w:rPr>
            <w:rStyle w:val="Hyperlink"/>
            <w:sz w:val="25"/>
            <w:szCs w:val="25"/>
          </w:rPr>
          <w:t xml:space="preserve"> Regarding the appeal of the appellant no.1, PW-13, who was working as a daily labourer</w:t>
        </w:r>
      </w:hyperlink>
      <w:r w:rsidR="00A15B3C" w:rsidRPr="000B7BDD">
        <w:rPr>
          <w:sz w:val="25"/>
          <w:szCs w:val="25"/>
        </w:rPr>
        <w:t xml:space="preserve"> </w:t>
      </w:r>
      <w:hyperlink r:id="rId69" w:history="1">
        <w:r w:rsidR="00A15B3C" w:rsidRPr="000B7BDD">
          <w:rPr>
            <w:rStyle w:val="Hyperlink"/>
            <w:sz w:val="25"/>
            <w:szCs w:val="25"/>
          </w:rPr>
          <w:t>un</w:t>
        </w:r>
        <w:r w:rsidR="00A15B3C" w:rsidRPr="000B7BDD">
          <w:rPr>
            <w:rStyle w:val="Hyperlink"/>
            <w:sz w:val="25"/>
            <w:szCs w:val="25"/>
          </w:rPr>
          <w:t>der the deceased and PW-1, has clearly stated that he accompanied the deceased for</w:t>
        </w:r>
      </w:hyperlink>
      <w:r w:rsidR="00A15B3C" w:rsidRPr="000B7BDD">
        <w:rPr>
          <w:sz w:val="25"/>
          <w:szCs w:val="25"/>
        </w:rPr>
        <w:t xml:space="preserve"> </w:t>
      </w:r>
      <w:hyperlink r:id="rId70" w:history="1">
        <w:r w:rsidR="00A15B3C" w:rsidRPr="000B7BDD">
          <w:rPr>
            <w:rStyle w:val="Hyperlink"/>
            <w:sz w:val="25"/>
            <w:szCs w:val="25"/>
          </w:rPr>
          <w:t>grazing cows to the rubber garden at 2.00 p.m. on the date of the incident and at about 4.00</w:t>
        </w:r>
      </w:hyperlink>
      <w:r w:rsidR="00A15B3C" w:rsidRPr="000B7BDD">
        <w:rPr>
          <w:sz w:val="25"/>
          <w:szCs w:val="25"/>
        </w:rPr>
        <w:t xml:space="preserve"> </w:t>
      </w:r>
      <w:hyperlink r:id="rId71" w:history="1">
        <w:r w:rsidR="00A15B3C" w:rsidRPr="000B7BDD">
          <w:rPr>
            <w:rStyle w:val="Hyperlink"/>
            <w:sz w:val="25"/>
            <w:szCs w:val="25"/>
          </w:rPr>
          <w:t>p.m., the appellant no.1 along with appellant no.2 went there armed with axe, lathi and gun</w:t>
        </w:r>
      </w:hyperlink>
      <w:r w:rsidR="00A15B3C" w:rsidRPr="000B7BDD">
        <w:rPr>
          <w:sz w:val="25"/>
          <w:szCs w:val="25"/>
        </w:rPr>
        <w:t xml:space="preserve"> </w:t>
      </w:r>
      <w:hyperlink r:id="rId72" w:history="1">
        <w:r w:rsidR="00A15B3C" w:rsidRPr="000B7BDD">
          <w:rPr>
            <w:rStyle w:val="Hyperlink"/>
            <w:sz w:val="25"/>
            <w:szCs w:val="25"/>
          </w:rPr>
          <w:t>and the deceased directed PW-13 to bring the cows so that they could proceed towards their</w:t>
        </w:r>
      </w:hyperlink>
      <w:r w:rsidR="00A15B3C" w:rsidRPr="000B7BDD">
        <w:rPr>
          <w:sz w:val="25"/>
          <w:szCs w:val="25"/>
        </w:rPr>
        <w:t xml:space="preserve"> </w:t>
      </w:r>
      <w:hyperlink r:id="rId73" w:history="1">
        <w:r w:rsidR="00A15B3C" w:rsidRPr="000B7BDD">
          <w:rPr>
            <w:rStyle w:val="Hyperlink"/>
            <w:sz w:val="25"/>
            <w:szCs w:val="25"/>
          </w:rPr>
          <w:t>house, but at that moment appellant no.1 dealt an axe blow on the deceased and thereafter he</w:t>
        </w:r>
      </w:hyperlink>
      <w:r w:rsidR="00A15B3C" w:rsidRPr="000B7BDD">
        <w:rPr>
          <w:sz w:val="25"/>
          <w:szCs w:val="25"/>
        </w:rPr>
        <w:t xml:space="preserve"> </w:t>
      </w:r>
      <w:hyperlink r:id="rId74" w:history="1">
        <w:r w:rsidR="00A15B3C" w:rsidRPr="000B7BDD">
          <w:rPr>
            <w:rStyle w:val="Hyperlink"/>
            <w:sz w:val="25"/>
            <w:szCs w:val="25"/>
          </w:rPr>
          <w:t>took out a gun from the jungle near the place of occurrence a</w:t>
        </w:r>
        <w:r w:rsidR="00A15B3C" w:rsidRPr="000B7BDD">
          <w:rPr>
            <w:rStyle w:val="Hyperlink"/>
            <w:sz w:val="25"/>
            <w:szCs w:val="25"/>
          </w:rPr>
          <w:t>nd shot at the victim and on</w:t>
        </w:r>
      </w:hyperlink>
      <w:r w:rsidR="00A15B3C" w:rsidRPr="000B7BDD">
        <w:rPr>
          <w:sz w:val="25"/>
          <w:szCs w:val="25"/>
        </w:rPr>
        <w:t xml:space="preserve"> </w:t>
      </w:r>
      <w:hyperlink r:id="rId75" w:history="1">
        <w:r w:rsidR="00A15B3C" w:rsidRPr="000B7BDD">
          <w:rPr>
            <w:rStyle w:val="Hyperlink"/>
            <w:sz w:val="25"/>
            <w:szCs w:val="25"/>
          </w:rPr>
          <w:t>seeing the incident he tried to run away from the place of occurrence. PW-13 has further</w:t>
        </w:r>
      </w:hyperlink>
      <w:r w:rsidR="00A15B3C" w:rsidRPr="000B7BDD">
        <w:rPr>
          <w:sz w:val="25"/>
          <w:szCs w:val="25"/>
        </w:rPr>
        <w:t xml:space="preserve"> </w:t>
      </w:r>
      <w:hyperlink r:id="rId76" w:history="1">
        <w:r w:rsidR="00A15B3C" w:rsidRPr="000B7BDD">
          <w:rPr>
            <w:rStyle w:val="Hyperlink"/>
            <w:sz w:val="25"/>
            <w:szCs w:val="25"/>
          </w:rPr>
          <w:t>stated that he returned home and had</w:t>
        </w:r>
        <w:r w:rsidR="00A15B3C" w:rsidRPr="000B7BDD">
          <w:rPr>
            <w:rStyle w:val="Hyperlink"/>
            <w:sz w:val="25"/>
            <w:szCs w:val="25"/>
          </w:rPr>
          <w:t xml:space="preserve"> not disclosed to anyone about the incident because he</w:t>
        </w:r>
      </w:hyperlink>
      <w:r w:rsidR="00A15B3C" w:rsidRPr="000B7BDD">
        <w:rPr>
          <w:sz w:val="25"/>
          <w:szCs w:val="25"/>
        </w:rPr>
        <w:t xml:space="preserve"> </w:t>
      </w:r>
      <w:hyperlink r:id="rId77" w:history="1">
        <w:r w:rsidR="00A15B3C" w:rsidRPr="000B7BDD">
          <w:rPr>
            <w:rStyle w:val="Hyperlink"/>
            <w:sz w:val="25"/>
            <w:szCs w:val="25"/>
          </w:rPr>
          <w:t>was afraid of the appellants. PW-13 has further stated that on the next day in the morning he</w:t>
        </w:r>
      </w:hyperlink>
      <w:r w:rsidR="00A15B3C" w:rsidRPr="000B7BDD">
        <w:rPr>
          <w:sz w:val="25"/>
          <w:szCs w:val="25"/>
        </w:rPr>
        <w:t xml:space="preserve"> </w:t>
      </w:r>
      <w:hyperlink r:id="rId78" w:history="1">
        <w:r w:rsidR="00A15B3C" w:rsidRPr="000B7BDD">
          <w:rPr>
            <w:rStyle w:val="Hyperlink"/>
            <w:sz w:val="25"/>
            <w:szCs w:val="25"/>
          </w:rPr>
          <w:t xml:space="preserve">went </w:t>
        </w:r>
        <w:r w:rsidR="00A15B3C" w:rsidRPr="000B7BDD">
          <w:rPr>
            <w:rStyle w:val="Hyperlink"/>
            <w:sz w:val="25"/>
            <w:szCs w:val="25"/>
          </w:rPr>
          <w:t>to the house of PW-2 and narrated the story to him and being afraid of the appellants, he</w:t>
        </w:r>
      </w:hyperlink>
      <w:r w:rsidR="00A15B3C" w:rsidRPr="000B7BDD">
        <w:rPr>
          <w:sz w:val="25"/>
          <w:szCs w:val="25"/>
        </w:rPr>
        <w:t xml:space="preserve"> </w:t>
      </w:r>
      <w:hyperlink r:id="rId79" w:history="1">
        <w:r w:rsidR="00A15B3C" w:rsidRPr="000B7BDD">
          <w:rPr>
            <w:rStyle w:val="Hyperlink"/>
            <w:sz w:val="25"/>
            <w:szCs w:val="25"/>
          </w:rPr>
          <w:t>left for Cachar and he was arrested by the appellants and brought to Panisagar and thereafter</w:t>
        </w:r>
      </w:hyperlink>
      <w:r w:rsidR="00A15B3C" w:rsidRPr="000B7BDD">
        <w:rPr>
          <w:sz w:val="25"/>
          <w:szCs w:val="25"/>
        </w:rPr>
        <w:t xml:space="preserve"> </w:t>
      </w:r>
      <w:hyperlink r:id="rId80" w:history="1">
        <w:r w:rsidR="00A15B3C" w:rsidRPr="000B7BDD">
          <w:rPr>
            <w:rStyle w:val="Hyperlink"/>
            <w:sz w:val="25"/>
            <w:szCs w:val="25"/>
          </w:rPr>
          <w:t>he narrated the entire story to the police officer.</w:t>
        </w:r>
      </w:hyperlink>
    </w:p>
    <w:p w:rsidR="007F2270" w:rsidRPr="000B7BDD" w:rsidRDefault="007F2270">
      <w:pPr>
        <w:pStyle w:val="Bodytext0"/>
        <w:numPr>
          <w:ilvl w:val="0"/>
          <w:numId w:val="1"/>
        </w:numPr>
        <w:shd w:val="clear" w:color="auto" w:fill="auto"/>
        <w:spacing w:before="0" w:after="0" w:line="360" w:lineRule="exact"/>
        <w:ind w:left="20" w:right="40"/>
        <w:jc w:val="both"/>
        <w:rPr>
          <w:sz w:val="25"/>
          <w:szCs w:val="25"/>
        </w:rPr>
      </w:pPr>
      <w:hyperlink r:id="rId81" w:history="1">
        <w:r w:rsidR="00A15B3C" w:rsidRPr="000B7BDD">
          <w:rPr>
            <w:rStyle w:val="Hyperlink"/>
            <w:sz w:val="25"/>
            <w:szCs w:val="25"/>
          </w:rPr>
          <w:t xml:space="preserve"> We are not persuaded by learned counsel for the appellants to take a view that the</w:t>
        </w:r>
      </w:hyperlink>
      <w:r w:rsidR="00A15B3C" w:rsidRPr="000B7BDD">
        <w:rPr>
          <w:sz w:val="25"/>
          <w:szCs w:val="25"/>
        </w:rPr>
        <w:t xml:space="preserve"> </w:t>
      </w:r>
      <w:hyperlink r:id="rId82" w:history="1">
        <w:r w:rsidR="00A15B3C" w:rsidRPr="000B7BDD">
          <w:rPr>
            <w:rStyle w:val="Hyperlink"/>
            <w:sz w:val="25"/>
            <w:szCs w:val="25"/>
          </w:rPr>
          <w:t>evidence of PW-3 was not reliable as he was a suspect and had ran away to Cachar. As has</w:t>
        </w:r>
      </w:hyperlink>
      <w:r w:rsidR="00A15B3C" w:rsidRPr="000B7BDD">
        <w:rPr>
          <w:sz w:val="25"/>
          <w:szCs w:val="25"/>
        </w:rPr>
        <w:t xml:space="preserve"> </w:t>
      </w:r>
      <w:hyperlink r:id="rId83" w:history="1">
        <w:r w:rsidR="00A15B3C" w:rsidRPr="000B7BDD">
          <w:rPr>
            <w:rStyle w:val="Hyperlink"/>
            <w:sz w:val="25"/>
            <w:szCs w:val="25"/>
          </w:rPr>
          <w:t>been explained by PW-13 himself, he left for Cachar because of his fear of the appellants</w:t>
        </w:r>
      </w:hyperlink>
      <w:r w:rsidR="00A15B3C" w:rsidRPr="000B7BDD">
        <w:rPr>
          <w:sz w:val="25"/>
          <w:szCs w:val="25"/>
        </w:rPr>
        <w:t xml:space="preserve"> </w:t>
      </w:r>
      <w:hyperlink r:id="rId84" w:history="1">
        <w:r w:rsidR="00A15B3C" w:rsidRPr="000B7BDD">
          <w:rPr>
            <w:rStyle w:val="Hyperlink"/>
            <w:sz w:val="25"/>
            <w:szCs w:val="25"/>
          </w:rPr>
          <w:t>who had threatened him with dire consequences if he disclosed the incident to anyone. At any</w:t>
        </w:r>
      </w:hyperlink>
      <w:r w:rsidR="00A15B3C" w:rsidRPr="000B7BDD">
        <w:rPr>
          <w:sz w:val="25"/>
          <w:szCs w:val="25"/>
        </w:rPr>
        <w:t xml:space="preserve"> </w:t>
      </w:r>
      <w:hyperlink r:id="rId85" w:history="1">
        <w:r w:rsidR="00A15B3C" w:rsidRPr="000B7BDD">
          <w:rPr>
            <w:rStyle w:val="Hyperlink"/>
            <w:sz w:val="25"/>
            <w:szCs w:val="25"/>
          </w:rPr>
          <w:t>rate, we find that the evidence of PW-13 is supported by the evidence of PW</w:t>
        </w:r>
        <w:r w:rsidR="00A15B3C" w:rsidRPr="000B7BDD">
          <w:rPr>
            <w:rStyle w:val="Hyperlink"/>
            <w:sz w:val="25"/>
            <w:szCs w:val="25"/>
          </w:rPr>
          <w:t>-6 who has</w:t>
        </w:r>
      </w:hyperlink>
      <w:r w:rsidR="00A15B3C" w:rsidRPr="000B7BDD">
        <w:rPr>
          <w:sz w:val="25"/>
          <w:szCs w:val="25"/>
        </w:rPr>
        <w:t xml:space="preserve"> </w:t>
      </w:r>
      <w:hyperlink r:id="rId86" w:history="1">
        <w:r w:rsidR="00A15B3C" w:rsidRPr="000B7BDD">
          <w:rPr>
            <w:rStyle w:val="Hyperlink"/>
            <w:sz w:val="25"/>
            <w:szCs w:val="25"/>
          </w:rPr>
          <w:t>stated that on the date of the incident he had found the deceased and appellants grazing cows</w:t>
        </w:r>
      </w:hyperlink>
      <w:r w:rsidR="00A15B3C" w:rsidRPr="000B7BDD">
        <w:rPr>
          <w:sz w:val="25"/>
          <w:szCs w:val="25"/>
        </w:rPr>
        <w:t xml:space="preserve"> </w:t>
      </w:r>
      <w:hyperlink r:id="rId87" w:history="1">
        <w:r w:rsidR="00A15B3C" w:rsidRPr="000B7BDD">
          <w:rPr>
            <w:rStyle w:val="Hyperlink"/>
            <w:sz w:val="25"/>
            <w:szCs w:val="25"/>
          </w:rPr>
          <w:t>in Nallia Tilla at around 1.30 p.m. Moreover, the</w:t>
        </w:r>
        <w:r w:rsidR="00A15B3C" w:rsidRPr="000B7BDD">
          <w:rPr>
            <w:rStyle w:val="Hyperlink"/>
            <w:sz w:val="25"/>
            <w:szCs w:val="25"/>
          </w:rPr>
          <w:t xml:space="preserve"> evidence of the Investigating Officer</w:t>
        </w:r>
      </w:hyperlink>
      <w:r w:rsidR="00A15B3C" w:rsidRPr="000B7BDD">
        <w:rPr>
          <w:sz w:val="25"/>
          <w:szCs w:val="25"/>
        </w:rPr>
        <w:t xml:space="preserve"> </w:t>
      </w:r>
      <w:hyperlink r:id="rId88" w:history="1">
        <w:r w:rsidR="00A15B3C" w:rsidRPr="000B7BDD">
          <w:rPr>
            <w:rStyle w:val="Hyperlink"/>
            <w:sz w:val="25"/>
            <w:szCs w:val="25"/>
          </w:rPr>
          <w:t>(PW-19) read with inquest report (Ext. P-2) prepared by him shows that there were injuries</w:t>
        </w:r>
      </w:hyperlink>
      <w:r w:rsidR="00A15B3C" w:rsidRPr="000B7BDD">
        <w:rPr>
          <w:sz w:val="25"/>
          <w:szCs w:val="25"/>
        </w:rPr>
        <w:t xml:space="preserve"> </w:t>
      </w:r>
      <w:hyperlink r:id="rId89" w:history="1">
        <w:r w:rsidR="00A15B3C" w:rsidRPr="000B7BDD">
          <w:rPr>
            <w:rStyle w:val="Hyperlink"/>
            <w:sz w:val="25"/>
            <w:szCs w:val="25"/>
          </w:rPr>
          <w:t>on the dead body of dece</w:t>
        </w:r>
        <w:r w:rsidR="00A15B3C" w:rsidRPr="000B7BDD">
          <w:rPr>
            <w:rStyle w:val="Hyperlink"/>
            <w:sz w:val="25"/>
            <w:szCs w:val="25"/>
          </w:rPr>
          <w:t>ased caused by an axe and a gun. PW-19 has also stated that he</w:t>
        </w:r>
      </w:hyperlink>
      <w:r w:rsidR="00A15B3C" w:rsidRPr="000B7BDD">
        <w:rPr>
          <w:sz w:val="25"/>
          <w:szCs w:val="25"/>
        </w:rPr>
        <w:t xml:space="preserve"> </w:t>
      </w:r>
      <w:hyperlink r:id="rId90" w:history="1">
        <w:r w:rsidR="00A15B3C" w:rsidRPr="000B7BDD">
          <w:rPr>
            <w:rStyle w:val="Hyperlink"/>
            <w:sz w:val="25"/>
            <w:szCs w:val="25"/>
          </w:rPr>
          <w:t>recovered handle of the axe near the dead body of the deceased and he seized the handle of</w:t>
        </w:r>
      </w:hyperlink>
      <w:r w:rsidR="00A15B3C" w:rsidRPr="000B7BDD">
        <w:rPr>
          <w:sz w:val="25"/>
          <w:szCs w:val="25"/>
        </w:rPr>
        <w:t xml:space="preserve"> </w:t>
      </w:r>
      <w:hyperlink r:id="rId91" w:history="1">
        <w:r w:rsidR="00A15B3C" w:rsidRPr="000B7BDD">
          <w:rPr>
            <w:rStyle w:val="Hyperlink"/>
            <w:sz w:val="25"/>
            <w:szCs w:val="25"/>
          </w:rPr>
          <w:t>the axe after preparing a seizure list in presence of the witnesses. Thus, the evidence of</w:t>
        </w:r>
      </w:hyperlink>
      <w:r w:rsidR="00A15B3C" w:rsidRPr="000B7BDD">
        <w:rPr>
          <w:sz w:val="25"/>
          <w:szCs w:val="25"/>
        </w:rPr>
        <w:t xml:space="preserve"> </w:t>
      </w:r>
      <w:hyperlink r:id="rId92" w:history="1">
        <w:r w:rsidR="00A15B3C" w:rsidRPr="000B7BDD">
          <w:rPr>
            <w:rStyle w:val="Hyperlink"/>
            <w:sz w:val="25"/>
            <w:szCs w:val="25"/>
          </w:rPr>
          <w:t>PW-13 is corroborated by material particulars by reliable testimony, direct and</w:t>
        </w:r>
      </w:hyperlink>
      <w:r w:rsidR="00A15B3C" w:rsidRPr="000B7BDD">
        <w:rPr>
          <w:sz w:val="25"/>
          <w:szCs w:val="25"/>
        </w:rPr>
        <w:t xml:space="preserve"> </w:t>
      </w:r>
      <w:hyperlink r:id="rId93" w:history="1">
        <w:r w:rsidR="00A15B3C" w:rsidRPr="000B7BDD">
          <w:rPr>
            <w:rStyle w:val="Hyperlink"/>
            <w:sz w:val="25"/>
            <w:szCs w:val="25"/>
          </w:rPr>
          <w:t>circumstantial.</w:t>
        </w:r>
      </w:hyperlink>
    </w:p>
    <w:p w:rsidR="007F2270" w:rsidRPr="000B7BDD" w:rsidRDefault="007F2270">
      <w:pPr>
        <w:pStyle w:val="Bodytext0"/>
        <w:numPr>
          <w:ilvl w:val="0"/>
          <w:numId w:val="1"/>
        </w:numPr>
        <w:shd w:val="clear" w:color="auto" w:fill="auto"/>
        <w:spacing w:before="0" w:after="0" w:line="360" w:lineRule="exact"/>
        <w:ind w:left="20" w:right="40"/>
        <w:jc w:val="both"/>
        <w:rPr>
          <w:sz w:val="25"/>
          <w:szCs w:val="25"/>
        </w:rPr>
      </w:pPr>
      <w:hyperlink r:id="rId94" w:history="1">
        <w:r w:rsidR="00A15B3C" w:rsidRPr="000B7BDD">
          <w:rPr>
            <w:rStyle w:val="Hyperlink"/>
            <w:sz w:val="25"/>
            <w:szCs w:val="25"/>
          </w:rPr>
          <w:t xml:space="preserve"> Once we find that the eye witness account of PW-13 is corroborated by material</w:t>
        </w:r>
      </w:hyperlink>
      <w:r w:rsidR="00A15B3C" w:rsidRPr="000B7BDD">
        <w:rPr>
          <w:sz w:val="25"/>
          <w:szCs w:val="25"/>
        </w:rPr>
        <w:t xml:space="preserve"> </w:t>
      </w:r>
      <w:hyperlink r:id="rId95" w:history="1">
        <w:r w:rsidR="00A15B3C" w:rsidRPr="000B7BDD">
          <w:rPr>
            <w:rStyle w:val="Hyperlink"/>
            <w:sz w:val="25"/>
            <w:szCs w:val="25"/>
          </w:rPr>
          <w:t>particulars and is reliable, we cannot di</w:t>
        </w:r>
        <w:r w:rsidR="00A15B3C" w:rsidRPr="000B7BDD">
          <w:rPr>
            <w:rStyle w:val="Hyperlink"/>
            <w:sz w:val="25"/>
            <w:szCs w:val="25"/>
          </w:rPr>
          <w:t>scard his evidence only on the ground that there are</w:t>
        </w:r>
      </w:hyperlink>
      <w:r w:rsidR="00A15B3C" w:rsidRPr="000B7BDD">
        <w:rPr>
          <w:sz w:val="25"/>
          <w:szCs w:val="25"/>
        </w:rPr>
        <w:t xml:space="preserve"> </w:t>
      </w:r>
      <w:hyperlink r:id="rId96" w:history="1">
        <w:r w:rsidR="00A15B3C" w:rsidRPr="000B7BDD">
          <w:rPr>
            <w:rStyle w:val="Hyperlink"/>
            <w:sz w:val="25"/>
            <w:szCs w:val="25"/>
          </w:rPr>
          <w:t>some discrepancies in the evidence of PW-1, PW- 2, PW-13 and PW-19. As has been held by</w:t>
        </w:r>
      </w:hyperlink>
      <w:r w:rsidR="00A15B3C" w:rsidRPr="000B7BDD">
        <w:rPr>
          <w:sz w:val="25"/>
          <w:szCs w:val="25"/>
        </w:rPr>
        <w:t xml:space="preserve"> </w:t>
      </w:r>
      <w:hyperlink r:id="rId97" w:history="1">
        <w:r w:rsidR="00A15B3C" w:rsidRPr="000B7BDD">
          <w:rPr>
            <w:rStyle w:val="Hyperlink"/>
            <w:sz w:val="25"/>
            <w:szCs w:val="25"/>
          </w:rPr>
          <w:t>this Court in</w:t>
        </w:r>
        <w:r w:rsidR="00A15B3C" w:rsidRPr="000B7BDD">
          <w:rPr>
            <w:rStyle w:val="Hyperlink"/>
            <w:sz w:val="25"/>
            <w:szCs w:val="25"/>
          </w:rPr>
          <w:t xml:space="preserve"> State of Rajasthan v. Smt. Kalki and Another [(1981) 2 SCC 752], in the</w:t>
        </w:r>
      </w:hyperlink>
      <w:r w:rsidR="00A15B3C" w:rsidRPr="000B7BDD">
        <w:rPr>
          <w:sz w:val="25"/>
          <w:szCs w:val="25"/>
        </w:rPr>
        <w:t xml:space="preserve"> </w:t>
      </w:r>
      <w:hyperlink r:id="rId98" w:history="1">
        <w:r w:rsidR="00A15B3C" w:rsidRPr="000B7BDD">
          <w:rPr>
            <w:rStyle w:val="Hyperlink"/>
            <w:sz w:val="25"/>
            <w:szCs w:val="25"/>
          </w:rPr>
          <w:t>deposition of witnesses there are always normal discrepancies due to normal errors of</w:t>
        </w:r>
      </w:hyperlink>
      <w:r w:rsidR="00A15B3C" w:rsidRPr="000B7BDD">
        <w:rPr>
          <w:sz w:val="25"/>
          <w:szCs w:val="25"/>
        </w:rPr>
        <w:t xml:space="preserve"> </w:t>
      </w:r>
      <w:hyperlink r:id="rId99" w:history="1">
        <w:r w:rsidR="00A15B3C" w:rsidRPr="000B7BDD">
          <w:rPr>
            <w:rStyle w:val="Hyperlink"/>
            <w:sz w:val="25"/>
            <w:szCs w:val="25"/>
          </w:rPr>
          <w:t>observation, loss of memory, mental disposition of the witnesses and the like. Unless,</w:t>
        </w:r>
      </w:hyperlink>
      <w:r w:rsidR="00A15B3C" w:rsidRPr="000B7BDD">
        <w:rPr>
          <w:sz w:val="25"/>
          <w:szCs w:val="25"/>
        </w:rPr>
        <w:t xml:space="preserve"> </w:t>
      </w:r>
      <w:hyperlink r:id="rId100" w:history="1">
        <w:r w:rsidR="00A15B3C" w:rsidRPr="000B7BDD">
          <w:rPr>
            <w:rStyle w:val="Hyperlink"/>
            <w:sz w:val="25"/>
            <w:szCs w:val="25"/>
          </w:rPr>
          <w:t>therefore, the discrepancies are “material discrepancies” so as to create a reaso</w:t>
        </w:r>
        <w:r w:rsidR="00A15B3C" w:rsidRPr="000B7BDD">
          <w:rPr>
            <w:rStyle w:val="Hyperlink"/>
            <w:sz w:val="25"/>
            <w:szCs w:val="25"/>
          </w:rPr>
          <w:t>nable doubt</w:t>
        </w:r>
      </w:hyperlink>
      <w:r w:rsidR="00A15B3C" w:rsidRPr="000B7BDD">
        <w:rPr>
          <w:sz w:val="25"/>
          <w:szCs w:val="25"/>
        </w:rPr>
        <w:t xml:space="preserve"> </w:t>
      </w:r>
      <w:hyperlink r:id="rId101" w:history="1">
        <w:r w:rsidR="00A15B3C" w:rsidRPr="000B7BDD">
          <w:rPr>
            <w:rStyle w:val="Hyperlink"/>
            <w:sz w:val="25"/>
            <w:szCs w:val="25"/>
          </w:rPr>
          <w:t>about the credibility of the witnesses, the Court will not discard the evidence of the</w:t>
        </w:r>
      </w:hyperlink>
      <w:r w:rsidR="00A15B3C" w:rsidRPr="000B7BDD">
        <w:rPr>
          <w:sz w:val="25"/>
          <w:szCs w:val="25"/>
        </w:rPr>
        <w:t xml:space="preserve"> </w:t>
      </w:r>
      <w:hyperlink r:id="rId102" w:history="1">
        <w:r w:rsidR="00A15B3C" w:rsidRPr="000B7BDD">
          <w:rPr>
            <w:rStyle w:val="Hyperlink"/>
            <w:sz w:val="25"/>
            <w:szCs w:val="25"/>
          </w:rPr>
          <w:t xml:space="preserve">witnesses. Learned counsel for the appellants is right </w:t>
        </w:r>
        <w:r w:rsidR="00A15B3C" w:rsidRPr="000B7BDD">
          <w:rPr>
            <w:rStyle w:val="Hyperlink"/>
            <w:sz w:val="25"/>
            <w:szCs w:val="25"/>
          </w:rPr>
          <w:t>that the prosecution has not been able to</w:t>
        </w:r>
      </w:hyperlink>
      <w:r w:rsidR="00A15B3C" w:rsidRPr="000B7BDD">
        <w:rPr>
          <w:sz w:val="25"/>
          <w:szCs w:val="25"/>
        </w:rPr>
        <w:t xml:space="preserve"> </w:t>
      </w:r>
      <w:hyperlink r:id="rId103" w:history="1">
        <w:r w:rsidR="00A15B3C" w:rsidRPr="000B7BDD">
          <w:rPr>
            <w:rStyle w:val="Hyperlink"/>
            <w:sz w:val="25"/>
            <w:szCs w:val="25"/>
          </w:rPr>
          <w:t>establish the motive of the appellant no.1 to kill the deceased but as there is direct evidence</w:t>
        </w:r>
      </w:hyperlink>
      <w:r w:rsidR="00A15B3C" w:rsidRPr="000B7BDD">
        <w:rPr>
          <w:sz w:val="25"/>
          <w:szCs w:val="25"/>
        </w:rPr>
        <w:t xml:space="preserve"> </w:t>
      </w:r>
      <w:hyperlink r:id="rId104" w:history="1">
        <w:r w:rsidR="00A15B3C" w:rsidRPr="000B7BDD">
          <w:rPr>
            <w:rStyle w:val="Hyperlink"/>
            <w:sz w:val="25"/>
            <w:szCs w:val="25"/>
          </w:rPr>
          <w:t>of the accused h</w:t>
        </w:r>
        <w:r w:rsidR="00A15B3C" w:rsidRPr="000B7BDD">
          <w:rPr>
            <w:rStyle w:val="Hyperlink"/>
            <w:sz w:val="25"/>
            <w:szCs w:val="25"/>
          </w:rPr>
          <w:t>aving committed the offence, motive becomes irrelevant. Motive becomes</w:t>
        </w:r>
      </w:hyperlink>
      <w:r w:rsidR="00A15B3C" w:rsidRPr="000B7BDD">
        <w:rPr>
          <w:sz w:val="25"/>
          <w:szCs w:val="25"/>
        </w:rPr>
        <w:t xml:space="preserve"> </w:t>
      </w:r>
      <w:hyperlink r:id="rId105" w:history="1">
        <w:r w:rsidR="00A15B3C" w:rsidRPr="000B7BDD">
          <w:rPr>
            <w:rStyle w:val="Hyperlink"/>
            <w:sz w:val="25"/>
            <w:szCs w:val="25"/>
          </w:rPr>
          <w:t>relevant as an additional circumstance in a case where prosecution seeks to prove the guilt by</w:t>
        </w:r>
      </w:hyperlink>
      <w:r w:rsidR="00A15B3C" w:rsidRPr="000B7BDD">
        <w:rPr>
          <w:sz w:val="25"/>
          <w:szCs w:val="25"/>
        </w:rPr>
        <w:t xml:space="preserve"> </w:t>
      </w:r>
      <w:hyperlink r:id="rId106" w:history="1">
        <w:r w:rsidR="00A15B3C" w:rsidRPr="000B7BDD">
          <w:rPr>
            <w:rStyle w:val="Hyperlink"/>
            <w:sz w:val="25"/>
            <w:szCs w:val="25"/>
          </w:rPr>
          <w:t>circumstantial evidence only.</w:t>
        </w:r>
      </w:hyperlink>
    </w:p>
    <w:p w:rsidR="007F2270" w:rsidRPr="000B7BDD" w:rsidRDefault="007F2270">
      <w:pPr>
        <w:pStyle w:val="Bodytext0"/>
        <w:numPr>
          <w:ilvl w:val="0"/>
          <w:numId w:val="1"/>
        </w:numPr>
        <w:shd w:val="clear" w:color="auto" w:fill="auto"/>
        <w:tabs>
          <w:tab w:val="left" w:pos="443"/>
        </w:tabs>
        <w:spacing w:before="0" w:after="0" w:line="360" w:lineRule="exact"/>
        <w:ind w:left="20" w:right="20"/>
        <w:jc w:val="both"/>
        <w:rPr>
          <w:sz w:val="25"/>
          <w:szCs w:val="25"/>
        </w:rPr>
      </w:pPr>
      <w:hyperlink r:id="rId107" w:history="1">
        <w:r w:rsidR="00A15B3C" w:rsidRPr="000B7BDD">
          <w:rPr>
            <w:rStyle w:val="Hyperlink"/>
            <w:sz w:val="25"/>
            <w:szCs w:val="25"/>
          </w:rPr>
          <w:t>In the result, we hold that the appellant no.1 was guilty of the offence under Section</w:t>
        </w:r>
      </w:hyperlink>
      <w:r w:rsidR="00A15B3C" w:rsidRPr="000B7BDD">
        <w:rPr>
          <w:sz w:val="25"/>
          <w:szCs w:val="25"/>
        </w:rPr>
        <w:t xml:space="preserve"> </w:t>
      </w:r>
      <w:hyperlink r:id="rId108" w:history="1">
        <w:r w:rsidR="00A15B3C" w:rsidRPr="000B7BDD">
          <w:rPr>
            <w:rStyle w:val="Hyperlink"/>
            <w:sz w:val="25"/>
            <w:szCs w:val="25"/>
          </w:rPr>
          <w:t>302 of the IPC and we acc</w:t>
        </w:r>
        <w:r w:rsidR="00A15B3C" w:rsidRPr="000B7BDD">
          <w:rPr>
            <w:rStyle w:val="Hyperlink"/>
            <w:sz w:val="25"/>
            <w:szCs w:val="25"/>
          </w:rPr>
          <w:t>ordingly dismiss the appeal of the appellant no.1. We, however,</w:t>
        </w:r>
      </w:hyperlink>
      <w:r w:rsidR="00A15B3C" w:rsidRPr="000B7BDD">
        <w:rPr>
          <w:sz w:val="25"/>
          <w:szCs w:val="25"/>
        </w:rPr>
        <w:t xml:space="preserve"> </w:t>
      </w:r>
      <w:hyperlink r:id="rId109" w:history="1">
        <w:r w:rsidR="00A15B3C" w:rsidRPr="000B7BDD">
          <w:rPr>
            <w:rStyle w:val="Hyperlink"/>
            <w:sz w:val="25"/>
            <w:szCs w:val="25"/>
          </w:rPr>
          <w:t>allow the appeal of the appellant no.2, set aside the impugned judgment of the High Court</w:t>
        </w:r>
      </w:hyperlink>
      <w:r w:rsidR="00A15B3C" w:rsidRPr="000B7BDD">
        <w:rPr>
          <w:sz w:val="25"/>
          <w:szCs w:val="25"/>
        </w:rPr>
        <w:t xml:space="preserve"> </w:t>
      </w:r>
      <w:hyperlink r:id="rId110" w:history="1">
        <w:r w:rsidR="00A15B3C" w:rsidRPr="000B7BDD">
          <w:rPr>
            <w:rStyle w:val="Hyperlink"/>
            <w:sz w:val="25"/>
            <w:szCs w:val="25"/>
          </w:rPr>
          <w:t>and the judgment of the trial court qua the appellant no.2 and remit the matter to the Juvenile</w:t>
        </w:r>
      </w:hyperlink>
      <w:r w:rsidR="00A15B3C" w:rsidRPr="000B7BDD">
        <w:rPr>
          <w:sz w:val="25"/>
          <w:szCs w:val="25"/>
        </w:rPr>
        <w:t xml:space="preserve"> </w:t>
      </w:r>
      <w:hyperlink r:id="rId111" w:history="1">
        <w:r w:rsidR="00A15B3C" w:rsidRPr="000B7BDD">
          <w:rPr>
            <w:rStyle w:val="Hyperlink"/>
            <w:sz w:val="25"/>
            <w:szCs w:val="25"/>
          </w:rPr>
          <w:t>Justice Board of North Tripura district for disposal in accordance with the 2000 Act within</w:t>
        </w:r>
      </w:hyperlink>
      <w:r w:rsidR="00A15B3C" w:rsidRPr="000B7BDD">
        <w:rPr>
          <w:sz w:val="25"/>
          <w:szCs w:val="25"/>
        </w:rPr>
        <w:t xml:space="preserve"> </w:t>
      </w:r>
      <w:hyperlink r:id="rId112" w:history="1">
        <w:r w:rsidR="00A15B3C" w:rsidRPr="000B7BDD">
          <w:rPr>
            <w:rStyle w:val="Hyperlink"/>
            <w:sz w:val="25"/>
            <w:szCs w:val="25"/>
          </w:rPr>
          <w:t>four months of receipt of a copy of this judgment.</w:t>
        </w:r>
      </w:hyperlink>
    </w:p>
    <w:sectPr w:rsidR="007F2270" w:rsidRPr="000B7BDD" w:rsidSect="007F2270">
      <w:type w:val="continuous"/>
      <w:pgSz w:w="12240" w:h="15840"/>
      <w:pgMar w:top="1497" w:right="1411" w:bottom="1497"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B3C" w:rsidRDefault="00A15B3C" w:rsidP="007F2270">
      <w:r>
        <w:separator/>
      </w:r>
    </w:p>
  </w:endnote>
  <w:endnote w:type="continuationSeparator" w:id="1">
    <w:p w:rsidR="00A15B3C" w:rsidRDefault="00A15B3C" w:rsidP="007F2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B3C" w:rsidRDefault="00A15B3C"/>
  </w:footnote>
  <w:footnote w:type="continuationSeparator" w:id="1">
    <w:p w:rsidR="00A15B3C" w:rsidRDefault="00A15B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F50B0"/>
    <w:multiLevelType w:val="multilevel"/>
    <w:tmpl w:val="8E0A7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532C1F"/>
    <w:multiLevelType w:val="hybridMultilevel"/>
    <w:tmpl w:val="30E2AA92"/>
    <w:lvl w:ilvl="0" w:tplc="A8009666">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7F2270"/>
    <w:rsid w:val="000B7BDD"/>
    <w:rsid w:val="007F2270"/>
    <w:rsid w:val="00A15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2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2270"/>
    <w:rPr>
      <w:color w:val="0066CC"/>
      <w:u w:val="single"/>
    </w:rPr>
  </w:style>
  <w:style w:type="character" w:customStyle="1" w:styleId="Bodytext2">
    <w:name w:val="Body text (2)_"/>
    <w:basedOn w:val="DefaultParagraphFont"/>
    <w:link w:val="Bodytext20"/>
    <w:rsid w:val="007F2270"/>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7F2270"/>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7F2270"/>
    <w:pPr>
      <w:shd w:val="clear" w:color="auto" w:fill="FFFFFF"/>
      <w:spacing w:after="48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7F2270"/>
    <w:pPr>
      <w:shd w:val="clear" w:color="auto" w:fill="FFFFFF"/>
      <w:spacing w:before="480" w:after="300" w:line="0" w:lineRule="atLeas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indiankanoon.org/doc/1648433/" TargetMode="External"/><Relationship Id="rId21" Type="http://schemas.openxmlformats.org/officeDocument/2006/relationships/hyperlink" Target="http://indiankanoon.org/doc/1973522/" TargetMode="External"/><Relationship Id="rId42" Type="http://schemas.openxmlformats.org/officeDocument/2006/relationships/hyperlink" Target="http://indiankanoon.org/doc/625357/" TargetMode="External"/><Relationship Id="rId47" Type="http://schemas.openxmlformats.org/officeDocument/2006/relationships/hyperlink" Target="http://indiankanoon.org/doc/625357/" TargetMode="External"/><Relationship Id="rId63" Type="http://schemas.openxmlformats.org/officeDocument/2006/relationships/hyperlink" Target="http://indiankanoon.org/doc/1360825/" TargetMode="External"/><Relationship Id="rId68" Type="http://schemas.openxmlformats.org/officeDocument/2006/relationships/hyperlink" Target="http://indiankanoon.org/doc/1360825/" TargetMode="External"/><Relationship Id="rId84" Type="http://schemas.openxmlformats.org/officeDocument/2006/relationships/hyperlink" Target="http://indiankanoon.org/doc/1360825/" TargetMode="External"/><Relationship Id="rId89" Type="http://schemas.openxmlformats.org/officeDocument/2006/relationships/hyperlink" Target="http://indiankanoon.org/doc/1360825/" TargetMode="External"/><Relationship Id="rId112" Type="http://schemas.openxmlformats.org/officeDocument/2006/relationships/hyperlink" Target="http://indiankanoon.org/doc/1560742/" TargetMode="External"/><Relationship Id="rId2" Type="http://schemas.openxmlformats.org/officeDocument/2006/relationships/styles" Target="styles.xml"/><Relationship Id="rId16" Type="http://schemas.openxmlformats.org/officeDocument/2006/relationships/hyperlink" Target="http://indiankanoon.org/doc/1973522/" TargetMode="External"/><Relationship Id="rId29" Type="http://schemas.openxmlformats.org/officeDocument/2006/relationships/hyperlink" Target="http://indiankanoon.org/doc/1648433/" TargetMode="External"/><Relationship Id="rId107" Type="http://schemas.openxmlformats.org/officeDocument/2006/relationships/hyperlink" Target="http://indiankanoon.org/doc/1360825/" TargetMode="External"/><Relationship Id="rId11" Type="http://schemas.openxmlformats.org/officeDocument/2006/relationships/hyperlink" Target="http://indiankanoon.org/doc/1973522/" TargetMode="External"/><Relationship Id="rId24" Type="http://schemas.openxmlformats.org/officeDocument/2006/relationships/hyperlink" Target="http://indiankanoon.org/doc/1648433/" TargetMode="External"/><Relationship Id="rId32" Type="http://schemas.openxmlformats.org/officeDocument/2006/relationships/hyperlink" Target="http://indiankanoon.org/doc/1648433/" TargetMode="External"/><Relationship Id="rId37" Type="http://schemas.openxmlformats.org/officeDocument/2006/relationships/hyperlink" Target="http://indiankanoon.org/doc/1648433/" TargetMode="External"/><Relationship Id="rId40" Type="http://schemas.openxmlformats.org/officeDocument/2006/relationships/hyperlink" Target="http://indiankanoon.org/doc/625357/" TargetMode="External"/><Relationship Id="rId45" Type="http://schemas.openxmlformats.org/officeDocument/2006/relationships/hyperlink" Target="http://indiankanoon.org/doc/625357/" TargetMode="External"/><Relationship Id="rId53" Type="http://schemas.openxmlformats.org/officeDocument/2006/relationships/hyperlink" Target="http://indiankanoon.org/doc/763672/" TargetMode="External"/><Relationship Id="rId58" Type="http://schemas.openxmlformats.org/officeDocument/2006/relationships/hyperlink" Target="http://indiankanoon.org/doc/763672/" TargetMode="External"/><Relationship Id="rId66" Type="http://schemas.openxmlformats.org/officeDocument/2006/relationships/hyperlink" Target="http://indiankanoon.org/doc/1360825/" TargetMode="External"/><Relationship Id="rId74" Type="http://schemas.openxmlformats.org/officeDocument/2006/relationships/hyperlink" Target="http://indiankanoon.org/doc/1360825/" TargetMode="External"/><Relationship Id="rId79" Type="http://schemas.openxmlformats.org/officeDocument/2006/relationships/hyperlink" Target="http://indiankanoon.org/doc/1360825/" TargetMode="External"/><Relationship Id="rId87" Type="http://schemas.openxmlformats.org/officeDocument/2006/relationships/hyperlink" Target="http://indiankanoon.org/doc/1360825/" TargetMode="External"/><Relationship Id="rId102" Type="http://schemas.openxmlformats.org/officeDocument/2006/relationships/hyperlink" Target="http://indiankanoon.org/doc/1360825/" TargetMode="External"/><Relationship Id="rId110" Type="http://schemas.openxmlformats.org/officeDocument/2006/relationships/hyperlink" Target="http://indiankanoon.org/doc/1560742/" TargetMode="External"/><Relationship Id="rId5" Type="http://schemas.openxmlformats.org/officeDocument/2006/relationships/footnotes" Target="footnotes.xml"/><Relationship Id="rId61" Type="http://schemas.openxmlformats.org/officeDocument/2006/relationships/hyperlink" Target="http://indiankanoon.org/doc/1360825/" TargetMode="External"/><Relationship Id="rId82" Type="http://schemas.openxmlformats.org/officeDocument/2006/relationships/hyperlink" Target="http://indiankanoon.org/doc/1360825/" TargetMode="External"/><Relationship Id="rId90" Type="http://schemas.openxmlformats.org/officeDocument/2006/relationships/hyperlink" Target="http://indiankanoon.org/doc/1360825/" TargetMode="External"/><Relationship Id="rId95" Type="http://schemas.openxmlformats.org/officeDocument/2006/relationships/hyperlink" Target="http://indiankanoon.org/doc/1360825/" TargetMode="External"/><Relationship Id="rId19" Type="http://schemas.openxmlformats.org/officeDocument/2006/relationships/hyperlink" Target="http://indiankanoon.org/doc/1973522/" TargetMode="External"/><Relationship Id="rId14" Type="http://schemas.openxmlformats.org/officeDocument/2006/relationships/hyperlink" Target="http://indiankanoon.org/doc/1973522/" TargetMode="External"/><Relationship Id="rId22" Type="http://schemas.openxmlformats.org/officeDocument/2006/relationships/hyperlink" Target="http://indiankanoon.org/doc/1973522/" TargetMode="External"/><Relationship Id="rId27" Type="http://schemas.openxmlformats.org/officeDocument/2006/relationships/hyperlink" Target="http://indiankanoon.org/doc/1648433/" TargetMode="External"/><Relationship Id="rId30" Type="http://schemas.openxmlformats.org/officeDocument/2006/relationships/hyperlink" Target="http://indiankanoon.org/doc/1648433/" TargetMode="External"/><Relationship Id="rId35" Type="http://schemas.openxmlformats.org/officeDocument/2006/relationships/hyperlink" Target="http://indiankanoon.org/doc/1648433/" TargetMode="External"/><Relationship Id="rId43" Type="http://schemas.openxmlformats.org/officeDocument/2006/relationships/hyperlink" Target="http://indiankanoon.org/doc/625357/" TargetMode="External"/><Relationship Id="rId48" Type="http://schemas.openxmlformats.org/officeDocument/2006/relationships/hyperlink" Target="http://indiankanoon.org/doc/625357/" TargetMode="External"/><Relationship Id="rId56" Type="http://schemas.openxmlformats.org/officeDocument/2006/relationships/hyperlink" Target="http://indiankanoon.org/doc/763672/" TargetMode="External"/><Relationship Id="rId64" Type="http://schemas.openxmlformats.org/officeDocument/2006/relationships/hyperlink" Target="http://indiankanoon.org/doc/1360825/" TargetMode="External"/><Relationship Id="rId69" Type="http://schemas.openxmlformats.org/officeDocument/2006/relationships/hyperlink" Target="http://indiankanoon.org/doc/1360825/" TargetMode="External"/><Relationship Id="rId77" Type="http://schemas.openxmlformats.org/officeDocument/2006/relationships/hyperlink" Target="http://indiankanoon.org/doc/1360825/" TargetMode="External"/><Relationship Id="rId100" Type="http://schemas.openxmlformats.org/officeDocument/2006/relationships/hyperlink" Target="http://indiankanoon.org/doc/1360825/" TargetMode="External"/><Relationship Id="rId105" Type="http://schemas.openxmlformats.org/officeDocument/2006/relationships/hyperlink" Target="http://indiankanoon.org/doc/1360825/" TargetMode="External"/><Relationship Id="rId113" Type="http://schemas.openxmlformats.org/officeDocument/2006/relationships/fontTable" Target="fontTable.xml"/><Relationship Id="rId8" Type="http://schemas.openxmlformats.org/officeDocument/2006/relationships/hyperlink" Target="http://indiankanoon.org/doc/1973522/" TargetMode="External"/><Relationship Id="rId51" Type="http://schemas.openxmlformats.org/officeDocument/2006/relationships/hyperlink" Target="http://indiankanoon.org/doc/763672/" TargetMode="External"/><Relationship Id="rId72" Type="http://schemas.openxmlformats.org/officeDocument/2006/relationships/hyperlink" Target="http://indiankanoon.org/doc/1360825/" TargetMode="External"/><Relationship Id="rId80" Type="http://schemas.openxmlformats.org/officeDocument/2006/relationships/hyperlink" Target="http://indiankanoon.org/doc/1360825/" TargetMode="External"/><Relationship Id="rId85" Type="http://schemas.openxmlformats.org/officeDocument/2006/relationships/hyperlink" Target="http://indiankanoon.org/doc/1360825/" TargetMode="External"/><Relationship Id="rId93" Type="http://schemas.openxmlformats.org/officeDocument/2006/relationships/hyperlink" Target="http://indiankanoon.org/doc/1360825/" TargetMode="External"/><Relationship Id="rId98" Type="http://schemas.openxmlformats.org/officeDocument/2006/relationships/hyperlink" Target="http://indiankanoon.org/doc/1360825/" TargetMode="External"/><Relationship Id="rId3" Type="http://schemas.openxmlformats.org/officeDocument/2006/relationships/settings" Target="settings.xml"/><Relationship Id="rId12" Type="http://schemas.openxmlformats.org/officeDocument/2006/relationships/hyperlink" Target="http://indiankanoon.org/doc/1973522/" TargetMode="External"/><Relationship Id="rId17" Type="http://schemas.openxmlformats.org/officeDocument/2006/relationships/hyperlink" Target="http://indiankanoon.org/doc/1973522/" TargetMode="External"/><Relationship Id="rId25" Type="http://schemas.openxmlformats.org/officeDocument/2006/relationships/hyperlink" Target="http://indiankanoon.org/doc/1648433/" TargetMode="External"/><Relationship Id="rId33" Type="http://schemas.openxmlformats.org/officeDocument/2006/relationships/hyperlink" Target="http://indiankanoon.org/doc/1648433/" TargetMode="External"/><Relationship Id="rId38" Type="http://schemas.openxmlformats.org/officeDocument/2006/relationships/hyperlink" Target="http://indiankanoon.org/doc/625357/" TargetMode="External"/><Relationship Id="rId46" Type="http://schemas.openxmlformats.org/officeDocument/2006/relationships/hyperlink" Target="http://indiankanoon.org/doc/625357/" TargetMode="External"/><Relationship Id="rId59" Type="http://schemas.openxmlformats.org/officeDocument/2006/relationships/hyperlink" Target="http://indiankanoon.org/doc/1360825/" TargetMode="External"/><Relationship Id="rId67" Type="http://schemas.openxmlformats.org/officeDocument/2006/relationships/hyperlink" Target="http://indiankanoon.org/doc/1360825/" TargetMode="External"/><Relationship Id="rId103" Type="http://schemas.openxmlformats.org/officeDocument/2006/relationships/hyperlink" Target="http://indiankanoon.org/doc/1360825/" TargetMode="External"/><Relationship Id="rId108" Type="http://schemas.openxmlformats.org/officeDocument/2006/relationships/hyperlink" Target="http://indiankanoon.org/doc/1560742/" TargetMode="External"/><Relationship Id="rId20" Type="http://schemas.openxmlformats.org/officeDocument/2006/relationships/hyperlink" Target="http://indiankanoon.org/doc/1973522/" TargetMode="External"/><Relationship Id="rId41" Type="http://schemas.openxmlformats.org/officeDocument/2006/relationships/hyperlink" Target="http://indiankanoon.org/doc/625357/" TargetMode="External"/><Relationship Id="rId54" Type="http://schemas.openxmlformats.org/officeDocument/2006/relationships/hyperlink" Target="http://indiankanoon.org/doc/763672/" TargetMode="External"/><Relationship Id="rId62" Type="http://schemas.openxmlformats.org/officeDocument/2006/relationships/hyperlink" Target="http://indiankanoon.org/doc/1360825/" TargetMode="External"/><Relationship Id="rId70" Type="http://schemas.openxmlformats.org/officeDocument/2006/relationships/hyperlink" Target="http://indiankanoon.org/doc/1360825/" TargetMode="External"/><Relationship Id="rId75" Type="http://schemas.openxmlformats.org/officeDocument/2006/relationships/hyperlink" Target="http://indiankanoon.org/doc/1360825/" TargetMode="External"/><Relationship Id="rId83" Type="http://schemas.openxmlformats.org/officeDocument/2006/relationships/hyperlink" Target="http://indiankanoon.org/doc/1360825/" TargetMode="External"/><Relationship Id="rId88" Type="http://schemas.openxmlformats.org/officeDocument/2006/relationships/hyperlink" Target="http://indiankanoon.org/doc/1360825/" TargetMode="External"/><Relationship Id="rId91" Type="http://schemas.openxmlformats.org/officeDocument/2006/relationships/hyperlink" Target="http://indiankanoon.org/doc/1360825/" TargetMode="External"/><Relationship Id="rId96" Type="http://schemas.openxmlformats.org/officeDocument/2006/relationships/hyperlink" Target="http://indiankanoon.org/doc/1360825/" TargetMode="External"/><Relationship Id="rId111" Type="http://schemas.openxmlformats.org/officeDocument/2006/relationships/hyperlink" Target="http://indiankanoon.org/doc/156074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ankanoon.org/doc/1973522/" TargetMode="External"/><Relationship Id="rId23" Type="http://schemas.openxmlformats.org/officeDocument/2006/relationships/hyperlink" Target="http://indiankanoon.org/doc/1973522/" TargetMode="External"/><Relationship Id="rId28" Type="http://schemas.openxmlformats.org/officeDocument/2006/relationships/hyperlink" Target="http://indiankanoon.org/doc/1648433/" TargetMode="External"/><Relationship Id="rId36" Type="http://schemas.openxmlformats.org/officeDocument/2006/relationships/hyperlink" Target="http://indiankanoon.org/doc/1648433/" TargetMode="External"/><Relationship Id="rId49" Type="http://schemas.openxmlformats.org/officeDocument/2006/relationships/hyperlink" Target="http://indiankanoon.org/doc/625357/" TargetMode="External"/><Relationship Id="rId57" Type="http://schemas.openxmlformats.org/officeDocument/2006/relationships/hyperlink" Target="http://indiankanoon.org/doc/763672/" TargetMode="External"/><Relationship Id="rId106" Type="http://schemas.openxmlformats.org/officeDocument/2006/relationships/hyperlink" Target="http://indiankanoon.org/doc/1360825/" TargetMode="External"/><Relationship Id="rId114" Type="http://schemas.openxmlformats.org/officeDocument/2006/relationships/theme" Target="theme/theme1.xml"/><Relationship Id="rId10" Type="http://schemas.openxmlformats.org/officeDocument/2006/relationships/hyperlink" Target="http://indiankanoon.org/doc/1973522/" TargetMode="External"/><Relationship Id="rId31" Type="http://schemas.openxmlformats.org/officeDocument/2006/relationships/hyperlink" Target="http://indiankanoon.org/doc/1648433/" TargetMode="External"/><Relationship Id="rId44" Type="http://schemas.openxmlformats.org/officeDocument/2006/relationships/hyperlink" Target="http://indiankanoon.org/doc/625357/" TargetMode="External"/><Relationship Id="rId52" Type="http://schemas.openxmlformats.org/officeDocument/2006/relationships/hyperlink" Target="http://indiankanoon.org/doc/763672/" TargetMode="External"/><Relationship Id="rId60" Type="http://schemas.openxmlformats.org/officeDocument/2006/relationships/hyperlink" Target="http://indiankanoon.org/doc/1360825/" TargetMode="External"/><Relationship Id="rId65" Type="http://schemas.openxmlformats.org/officeDocument/2006/relationships/hyperlink" Target="http://indiankanoon.org/doc/1360825/" TargetMode="External"/><Relationship Id="rId73" Type="http://schemas.openxmlformats.org/officeDocument/2006/relationships/hyperlink" Target="http://indiankanoon.org/doc/1360825/" TargetMode="External"/><Relationship Id="rId78" Type="http://schemas.openxmlformats.org/officeDocument/2006/relationships/hyperlink" Target="http://indiankanoon.org/doc/1360825/" TargetMode="External"/><Relationship Id="rId81" Type="http://schemas.openxmlformats.org/officeDocument/2006/relationships/hyperlink" Target="http://indiankanoon.org/doc/1360825/" TargetMode="External"/><Relationship Id="rId86" Type="http://schemas.openxmlformats.org/officeDocument/2006/relationships/hyperlink" Target="http://indiankanoon.org/doc/1360825/" TargetMode="External"/><Relationship Id="rId94" Type="http://schemas.openxmlformats.org/officeDocument/2006/relationships/hyperlink" Target="http://indiankanoon.org/doc/1360825/" TargetMode="External"/><Relationship Id="rId99" Type="http://schemas.openxmlformats.org/officeDocument/2006/relationships/hyperlink" Target="http://indiankanoon.org/doc/1360825/" TargetMode="External"/><Relationship Id="rId101" Type="http://schemas.openxmlformats.org/officeDocument/2006/relationships/hyperlink" Target="http://indiankanoon.org/doc/1360825/" TargetMode="External"/><Relationship Id="rId4" Type="http://schemas.openxmlformats.org/officeDocument/2006/relationships/webSettings" Target="webSettings.xml"/><Relationship Id="rId9" Type="http://schemas.openxmlformats.org/officeDocument/2006/relationships/hyperlink" Target="http://indiankanoon.org/doc/1973522/" TargetMode="External"/><Relationship Id="rId13" Type="http://schemas.openxmlformats.org/officeDocument/2006/relationships/hyperlink" Target="http://indiankanoon.org/doc/1973522/" TargetMode="External"/><Relationship Id="rId18" Type="http://schemas.openxmlformats.org/officeDocument/2006/relationships/hyperlink" Target="http://indiankanoon.org/doc/1973522/" TargetMode="External"/><Relationship Id="rId39" Type="http://schemas.openxmlformats.org/officeDocument/2006/relationships/hyperlink" Target="http://indiankanoon.org/doc/625357/" TargetMode="External"/><Relationship Id="rId109" Type="http://schemas.openxmlformats.org/officeDocument/2006/relationships/hyperlink" Target="http://indiankanoon.org/doc/1560742/" TargetMode="External"/><Relationship Id="rId34" Type="http://schemas.openxmlformats.org/officeDocument/2006/relationships/hyperlink" Target="http://indiankanoon.org/doc/1648433/" TargetMode="External"/><Relationship Id="rId50" Type="http://schemas.openxmlformats.org/officeDocument/2006/relationships/hyperlink" Target="http://indiankanoon.org/doc/625357/" TargetMode="External"/><Relationship Id="rId55" Type="http://schemas.openxmlformats.org/officeDocument/2006/relationships/hyperlink" Target="http://indiankanoon.org/doc/763672/" TargetMode="External"/><Relationship Id="rId76" Type="http://schemas.openxmlformats.org/officeDocument/2006/relationships/hyperlink" Target="http://indiankanoon.org/doc/1360825/" TargetMode="External"/><Relationship Id="rId97" Type="http://schemas.openxmlformats.org/officeDocument/2006/relationships/hyperlink" Target="http://indiankanoon.org/doc/1360825/" TargetMode="External"/><Relationship Id="rId104" Type="http://schemas.openxmlformats.org/officeDocument/2006/relationships/hyperlink" Target="http://indiankanoon.org/doc/1360825/" TargetMode="External"/><Relationship Id="rId7" Type="http://schemas.openxmlformats.org/officeDocument/2006/relationships/hyperlink" Target="http://indiankanoon.org/doc/1973522/" TargetMode="External"/><Relationship Id="rId71" Type="http://schemas.openxmlformats.org/officeDocument/2006/relationships/hyperlink" Target="http://indiankanoon.org/doc/1360825/" TargetMode="External"/><Relationship Id="rId92" Type="http://schemas.openxmlformats.org/officeDocument/2006/relationships/hyperlink" Target="http://indiankanoon.org/doc/1360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3536</Words>
  <Characters>20158</Characters>
  <Application>Microsoft Office Word</Application>
  <DocSecurity>0</DocSecurity>
  <Lines>167</Lines>
  <Paragraphs>47</Paragraphs>
  <ScaleCrop>false</ScaleCrop>
  <Company/>
  <LinksUpToDate>false</LinksUpToDate>
  <CharactersWithSpaces>23647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2017-06-02T11:39:00Z</dcterms:created>
  <dcterms:modified xsi:type="dcterms:W3CDTF">2017-06-02T11:39:00Z</dcterms:modified>
</cp:coreProperties>
</file>