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FD9" w:rsidRDefault="00C0130B">
      <w:pPr>
        <w:pStyle w:val="Bodytext20"/>
        <w:shd w:val="clear" w:color="auto" w:fill="auto"/>
        <w:spacing w:after="47" w:line="280" w:lineRule="exact"/>
        <w:ind w:left="20"/>
      </w:pPr>
      <w:r>
        <w:t>SUPREME COURT OF INDIA</w:t>
      </w:r>
    </w:p>
    <w:p w:rsidR="00F30B7D" w:rsidRDefault="00C0130B">
      <w:pPr>
        <w:pStyle w:val="Bodytext0"/>
        <w:shd w:val="clear" w:color="auto" w:fill="auto"/>
        <w:spacing w:before="0"/>
        <w:ind w:left="20"/>
      </w:pPr>
      <w:r>
        <w:t xml:space="preserve">Deep Trading Company </w:t>
      </w:r>
    </w:p>
    <w:p w:rsidR="00DE0FD9" w:rsidRDefault="00C0130B">
      <w:pPr>
        <w:pStyle w:val="Bodytext0"/>
        <w:shd w:val="clear" w:color="auto" w:fill="auto"/>
        <w:spacing w:before="0"/>
        <w:ind w:left="20"/>
      </w:pPr>
      <w:r>
        <w:t>Vs.</w:t>
      </w:r>
    </w:p>
    <w:p w:rsidR="00F30B7D" w:rsidRDefault="00C0130B">
      <w:pPr>
        <w:pStyle w:val="Bodytext0"/>
        <w:shd w:val="clear" w:color="auto" w:fill="auto"/>
        <w:spacing w:before="0"/>
      </w:pPr>
      <w:r>
        <w:t xml:space="preserve">Indian Oil Corporation </w:t>
      </w:r>
    </w:p>
    <w:p w:rsidR="00F30B7D" w:rsidRDefault="00C0130B">
      <w:pPr>
        <w:pStyle w:val="Bodytext0"/>
        <w:shd w:val="clear" w:color="auto" w:fill="auto"/>
        <w:spacing w:before="0"/>
      </w:pPr>
      <w:r>
        <w:t>C.A.No.2673 of 2013</w:t>
      </w:r>
    </w:p>
    <w:p w:rsidR="00DE0FD9" w:rsidRDefault="00C0130B">
      <w:pPr>
        <w:pStyle w:val="Bodytext0"/>
        <w:shd w:val="clear" w:color="auto" w:fill="auto"/>
        <w:spacing w:before="0"/>
      </w:pPr>
      <w:r>
        <w:t xml:space="preserve"> (R.M.Lodha, J. Chelameswar and Madan B. Lokur)</w:t>
      </w:r>
    </w:p>
    <w:p w:rsidR="00DE0FD9" w:rsidRDefault="00C0130B">
      <w:pPr>
        <w:pStyle w:val="Bodytext0"/>
        <w:shd w:val="clear" w:color="auto" w:fill="auto"/>
        <w:spacing w:before="0"/>
      </w:pPr>
      <w:r>
        <w:t>22.03.2013</w:t>
      </w:r>
    </w:p>
    <w:p w:rsidR="00DE0FD9" w:rsidRDefault="00C0130B">
      <w:pPr>
        <w:pStyle w:val="Bodytext20"/>
        <w:shd w:val="clear" w:color="auto" w:fill="auto"/>
        <w:spacing w:after="0" w:line="643" w:lineRule="exact"/>
      </w:pPr>
      <w:r>
        <w:t>JUDGMENT</w:t>
      </w:r>
    </w:p>
    <w:p w:rsidR="00DE0FD9" w:rsidRDefault="00F30B7D">
      <w:pPr>
        <w:pStyle w:val="Bodytext20"/>
        <w:shd w:val="clear" w:color="auto" w:fill="auto"/>
        <w:spacing w:after="0" w:line="643" w:lineRule="exact"/>
        <w:jc w:val="both"/>
      </w:pPr>
      <w:r>
        <w:t>R.M. Lodha, J.</w:t>
      </w:r>
    </w:p>
    <w:p w:rsidR="00DE0FD9" w:rsidRDefault="00C0130B">
      <w:pPr>
        <w:pStyle w:val="Bodytext0"/>
        <w:numPr>
          <w:ilvl w:val="0"/>
          <w:numId w:val="1"/>
        </w:numPr>
        <w:shd w:val="clear" w:color="auto" w:fill="auto"/>
        <w:spacing w:before="0"/>
        <w:jc w:val="both"/>
      </w:pPr>
      <w:r>
        <w:t xml:space="preserve"> Leave granted.</w:t>
      </w:r>
    </w:p>
    <w:p w:rsidR="00DE0FD9" w:rsidRDefault="00C0130B">
      <w:pPr>
        <w:pStyle w:val="Bodytext0"/>
        <w:numPr>
          <w:ilvl w:val="0"/>
          <w:numId w:val="1"/>
        </w:numPr>
        <w:shd w:val="clear" w:color="auto" w:fill="auto"/>
        <w:spacing w:before="0" w:after="300" w:line="322" w:lineRule="exact"/>
        <w:ind w:right="20"/>
        <w:jc w:val="both"/>
      </w:pPr>
      <w:r>
        <w:t xml:space="preserve"> The questions that arise for consideration in this appeal, by special leave are, whether respondent No. 1 has forfeited its right to appoint the arbitrator having not done so after the demand was made and till the appellant had moved the court under Secti</w:t>
      </w:r>
      <w:r>
        <w:t>on 11(6) and, if the answer is in the affirmative, whether the appointment of the arbitrator by respondent No. 1 in the course of the proceedings under Section 11(6) is of any legal consequence and the Chief Justice of the High Court ought to have exercise</w:t>
      </w:r>
      <w:r>
        <w:t>d the jurisdiction and appointed an arbitrator?</w:t>
      </w:r>
    </w:p>
    <w:p w:rsidR="00DE0FD9" w:rsidRDefault="00C0130B">
      <w:pPr>
        <w:pStyle w:val="Bodytext0"/>
        <w:numPr>
          <w:ilvl w:val="0"/>
          <w:numId w:val="1"/>
        </w:numPr>
        <w:shd w:val="clear" w:color="auto" w:fill="auto"/>
        <w:spacing w:before="0" w:after="300" w:line="322" w:lineRule="exact"/>
        <w:ind w:right="20"/>
        <w:jc w:val="both"/>
      </w:pPr>
      <w:r>
        <w:t xml:space="preserve"> The above questions arise from these facts: On 01.11.1998, an agreement for kerosene/LDO dealership was entered into between the first respondent - Indian Oil Corporation (for short, “the Corporation”) and t</w:t>
      </w:r>
      <w:r>
        <w:t xml:space="preserve">he appellant - Deep Trading Company (for short, “the dealer”) for the retail sales supply of kerosene and light diesel oil in the area specified in the schedule. In the course of dealership agreement allegedly some violations were committed by the dealer. </w:t>
      </w:r>
      <w:r>
        <w:t>Following the show cause notice dated 04.03.2004, the Corporation on 12.03.2004 suspended the sales and supplies of all the products to the dealer with immediate effect.</w:t>
      </w:r>
    </w:p>
    <w:p w:rsidR="00DE0FD9" w:rsidRDefault="00C0130B">
      <w:pPr>
        <w:pStyle w:val="Bodytext0"/>
        <w:numPr>
          <w:ilvl w:val="0"/>
          <w:numId w:val="1"/>
        </w:numPr>
        <w:shd w:val="clear" w:color="auto" w:fill="auto"/>
        <w:spacing w:before="0" w:line="322" w:lineRule="exact"/>
      </w:pPr>
      <w:r>
        <w:t xml:space="preserve"> Aggrieved by the action of the Corporation, the dealer filed a petition under Section</w:t>
      </w:r>
      <w:r>
        <w:t xml:space="preserve"> 9 of the Arbitration and Conciliation Act, 1996 (for short, “1996 Act”) before the District Judge, Etawah seeking an order of injunction against the</w:t>
      </w:r>
    </w:p>
    <w:p w:rsidR="00DE0FD9" w:rsidRDefault="00C0130B">
      <w:pPr>
        <w:pStyle w:val="Bodytext0"/>
        <w:shd w:val="clear" w:color="auto" w:fill="auto"/>
        <w:spacing w:before="0" w:after="300" w:line="322" w:lineRule="exact"/>
        <w:ind w:left="20" w:right="40"/>
        <w:jc w:val="both"/>
      </w:pPr>
      <w:r>
        <w:t xml:space="preserve">Corporation from stopping the supply of Kerosene/LDO. On 25.03.2004, the District </w:t>
      </w:r>
      <w:r>
        <w:lastRenderedPageBreak/>
        <w:t xml:space="preserve">Judge, Etawah passed a </w:t>
      </w:r>
      <w:r>
        <w:t>restraint order against the Corporation.</w:t>
      </w:r>
    </w:p>
    <w:p w:rsidR="00DE0FD9" w:rsidRDefault="00C0130B">
      <w:pPr>
        <w:pStyle w:val="Bodytext0"/>
        <w:numPr>
          <w:ilvl w:val="0"/>
          <w:numId w:val="1"/>
        </w:numPr>
        <w:shd w:val="clear" w:color="auto" w:fill="auto"/>
        <w:spacing w:before="0" w:after="300" w:line="322" w:lineRule="exact"/>
        <w:ind w:left="20" w:right="40"/>
        <w:jc w:val="both"/>
      </w:pPr>
      <w:r>
        <w:t xml:space="preserve"> The Corporation challenged the order of the District Judge, Etawah dated 25.03.2004 before the Allahabad High Court and also prayed for an interim relief. On 12.07.2004, the Allahabad High Court refused to grant an</w:t>
      </w:r>
      <w:r>
        <w:t>y interim relief to the Corporation.</w:t>
      </w:r>
    </w:p>
    <w:p w:rsidR="00DE0FD9" w:rsidRDefault="00C0130B">
      <w:pPr>
        <w:pStyle w:val="Bodytext0"/>
        <w:numPr>
          <w:ilvl w:val="0"/>
          <w:numId w:val="1"/>
        </w:numPr>
        <w:shd w:val="clear" w:color="auto" w:fill="auto"/>
        <w:spacing w:before="0" w:after="300" w:line="322" w:lineRule="exact"/>
        <w:ind w:left="20" w:right="40"/>
        <w:jc w:val="both"/>
      </w:pPr>
      <w:r>
        <w:t xml:space="preserve"> On 09.08.2004, the dealer made a demand to the Corporation by a written notice to refer the disputes between the parties to the arbitrator under the terms of the agreement. In the demand notice, it was also stated by t</w:t>
      </w:r>
      <w:r>
        <w:t>he dealer that if the Corporation fails to appoint the arbitrator, the dealer may be constrained to approach the court under Section 11 of the 1996 Act.</w:t>
      </w:r>
    </w:p>
    <w:p w:rsidR="00DE0FD9" w:rsidRDefault="00C0130B">
      <w:pPr>
        <w:pStyle w:val="Bodytext0"/>
        <w:numPr>
          <w:ilvl w:val="0"/>
          <w:numId w:val="1"/>
        </w:numPr>
        <w:shd w:val="clear" w:color="auto" w:fill="auto"/>
        <w:spacing w:before="0" w:after="300" w:line="322" w:lineRule="exact"/>
        <w:ind w:left="20" w:right="40"/>
        <w:jc w:val="both"/>
      </w:pPr>
      <w:r>
        <w:t xml:space="preserve"> It appears that the Corporation challenged the order of the Allahabad High Court in the special leave </w:t>
      </w:r>
      <w:r>
        <w:t>petition before this Court but that was dismissed on 06.12.2004 being an interlocutory order.</w:t>
      </w:r>
    </w:p>
    <w:p w:rsidR="00DE0FD9" w:rsidRDefault="00C0130B">
      <w:pPr>
        <w:pStyle w:val="Bodytext0"/>
        <w:numPr>
          <w:ilvl w:val="0"/>
          <w:numId w:val="1"/>
        </w:numPr>
        <w:shd w:val="clear" w:color="auto" w:fill="auto"/>
        <w:spacing w:before="0" w:after="300" w:line="322" w:lineRule="exact"/>
        <w:ind w:left="20" w:right="40"/>
        <w:jc w:val="both"/>
      </w:pPr>
      <w:r>
        <w:t xml:space="preserve"> On or about 06.12.2004, the dealer moved the Chief Justice of the Allahabad High Court under Section 11(6) for the appointment of an arbitrator as the Corporatio</w:t>
      </w:r>
      <w:r>
        <w:t>n had failed to act under the agreement. While the said proceedings were pending, on 28.12.2004, the Corporation appointed Shri B. Parihar, Senior Manager, (LPG Engineering) of its U.P. State Office as the sole arbitrator.</w:t>
      </w:r>
    </w:p>
    <w:p w:rsidR="00DE0FD9" w:rsidRDefault="00C0130B">
      <w:pPr>
        <w:pStyle w:val="Bodytext0"/>
        <w:numPr>
          <w:ilvl w:val="0"/>
          <w:numId w:val="1"/>
        </w:numPr>
        <w:shd w:val="clear" w:color="auto" w:fill="auto"/>
        <w:spacing w:before="0" w:after="300" w:line="322" w:lineRule="exact"/>
        <w:ind w:left="20" w:right="40"/>
        <w:jc w:val="both"/>
      </w:pPr>
      <w:r>
        <w:t xml:space="preserve"> When the above application came </w:t>
      </w:r>
      <w:r>
        <w:t>up for consideration, the Chief Justice found no reason to appoint the arbitrator, as sought by the dealer, since the arbitrator had already been appointed by the Corporation. The brief order dated 06.12.2007, by which the dealer’s application under Sectio</w:t>
      </w:r>
      <w:r>
        <w:t>n 11(6) was dismissed by the Chief Justice of the Allahabad High Court, reads as under:</w:t>
      </w:r>
    </w:p>
    <w:p w:rsidR="00DE0FD9" w:rsidRDefault="00C0130B">
      <w:pPr>
        <w:pStyle w:val="Bodytext0"/>
        <w:shd w:val="clear" w:color="auto" w:fill="auto"/>
        <w:spacing w:before="0" w:after="300" w:line="322" w:lineRule="exact"/>
        <w:ind w:left="740" w:right="40"/>
        <w:jc w:val="both"/>
      </w:pPr>
      <w:r>
        <w:t>“1. Heard Mr. Siddharth Singh, in support of this application and Mr. Prakash Padia, learned counsel appearing for the respondents.</w:t>
      </w:r>
    </w:p>
    <w:p w:rsidR="00DE0FD9" w:rsidRDefault="00C0130B">
      <w:pPr>
        <w:pStyle w:val="Bodytext0"/>
        <w:numPr>
          <w:ilvl w:val="0"/>
          <w:numId w:val="2"/>
        </w:numPr>
        <w:shd w:val="clear" w:color="auto" w:fill="auto"/>
        <w:tabs>
          <w:tab w:val="left" w:pos="1086"/>
        </w:tabs>
        <w:spacing w:before="0" w:line="322" w:lineRule="exact"/>
        <w:ind w:left="740" w:right="40"/>
        <w:jc w:val="both"/>
      </w:pPr>
      <w:r>
        <w:t>The dispute in this matter is regard</w:t>
      </w:r>
      <w:r>
        <w:t>ing suspension of the petitioner’s agency as a kerosene dealer for sometime. The applicant applied for appointment of an arbitrator by writing a letter in March, 2004, but filed the present proceeding on 06.12.2004. An Arbitrator was appointed by the respo</w:t>
      </w:r>
      <w:r>
        <w:t>ndents on 28.12.2004. Earlier arbitrator has been replaced by another arbitrator.</w:t>
      </w:r>
    </w:p>
    <w:p w:rsidR="00DE0FD9" w:rsidRDefault="00C0130B">
      <w:pPr>
        <w:pStyle w:val="Bodytext0"/>
        <w:numPr>
          <w:ilvl w:val="0"/>
          <w:numId w:val="2"/>
        </w:numPr>
        <w:shd w:val="clear" w:color="auto" w:fill="auto"/>
        <w:spacing w:before="0" w:after="300" w:line="322" w:lineRule="exact"/>
        <w:ind w:left="740" w:right="40"/>
        <w:jc w:val="both"/>
      </w:pPr>
      <w:r>
        <w:t xml:space="preserve"> The contract of the applicant is continuing with the respondents in view of an injunction granted by the Civil Court.</w:t>
      </w:r>
    </w:p>
    <w:p w:rsidR="00DE0FD9" w:rsidRDefault="00C0130B">
      <w:pPr>
        <w:pStyle w:val="Bodytext0"/>
        <w:numPr>
          <w:ilvl w:val="0"/>
          <w:numId w:val="2"/>
        </w:numPr>
        <w:shd w:val="clear" w:color="auto" w:fill="auto"/>
        <w:spacing w:before="0" w:after="300" w:line="322" w:lineRule="exact"/>
        <w:ind w:left="740" w:right="40"/>
        <w:jc w:val="both"/>
      </w:pPr>
      <w:r>
        <w:t xml:space="preserve"> The submission of the applicant is that the respondent</w:t>
      </w:r>
      <w:r>
        <w:t>s ought to have moved within thirty days from the date of a request being made. In any case arbitrator has been appointed within thirty days from the filing of the application. Mr. Siddharth Singh, says that the arbitrator conduct should have been appointe</w:t>
      </w:r>
      <w:r>
        <w:t>d after filing of an application under Section 11 of the Arbitration and Conciliation Act.</w:t>
      </w:r>
    </w:p>
    <w:p w:rsidR="00DE0FD9" w:rsidRDefault="00C0130B">
      <w:pPr>
        <w:pStyle w:val="Bodytext0"/>
        <w:numPr>
          <w:ilvl w:val="0"/>
          <w:numId w:val="2"/>
        </w:numPr>
        <w:shd w:val="clear" w:color="auto" w:fill="auto"/>
        <w:spacing w:before="0" w:after="349" w:line="322" w:lineRule="exact"/>
        <w:ind w:left="740" w:right="40"/>
        <w:jc w:val="both"/>
      </w:pPr>
      <w:r>
        <w:t xml:space="preserve"> In my view, there is no reason to appoint any fresh arbitrator, as sought by the applicant.</w:t>
      </w:r>
    </w:p>
    <w:p w:rsidR="00DE0FD9" w:rsidRDefault="00C0130B">
      <w:pPr>
        <w:pStyle w:val="Bodytext0"/>
        <w:numPr>
          <w:ilvl w:val="0"/>
          <w:numId w:val="2"/>
        </w:numPr>
        <w:shd w:val="clear" w:color="auto" w:fill="auto"/>
        <w:spacing w:before="0" w:after="313" w:line="260" w:lineRule="exact"/>
        <w:ind w:left="740"/>
        <w:jc w:val="both"/>
      </w:pPr>
      <w:r>
        <w:t xml:space="preserve"> The application is dismissed.”</w:t>
      </w:r>
    </w:p>
    <w:p w:rsidR="00DE0FD9" w:rsidRDefault="00C0130B">
      <w:pPr>
        <w:pStyle w:val="Bodytext0"/>
        <w:numPr>
          <w:ilvl w:val="0"/>
          <w:numId w:val="1"/>
        </w:numPr>
        <w:shd w:val="clear" w:color="auto" w:fill="auto"/>
        <w:tabs>
          <w:tab w:val="left" w:pos="505"/>
        </w:tabs>
        <w:spacing w:before="0" w:after="300" w:line="322" w:lineRule="exact"/>
        <w:ind w:left="20" w:right="40"/>
        <w:jc w:val="both"/>
      </w:pPr>
      <w:r>
        <w:t xml:space="preserve">Clause 29 of the agreement dated </w:t>
      </w:r>
      <w:r>
        <w:t>01.11.1998 provides as under: “29. Any dispute or difference of any nature whatsoever or regarding any right, liability, act, omission on account of any of the parties here to arising out or in relation to this Agreement shall be referred to the sole arbit</w:t>
      </w:r>
      <w:r>
        <w:t>ration of the Director (Marketing) of the Corporation, or of some Officer of the Corporation who may be nominated by the Director (Marketing). It is known to the parties to the Agreement that the arbitrator so appointed is a share holder and employee of th</w:t>
      </w:r>
      <w:r>
        <w:t>e Corporation. In the event of the arbitrator to whom the matter is originally referred being transferred or vacating his office or being unable to act for any reason, the Director (Marketing) as aforesaid at the time of such transfer, vacation of office o</w:t>
      </w:r>
      <w:r>
        <w:t xml:space="preserve">r inability to act, shall designate another person to act as arbitrator in accordance with the terms of the Agreement. Such person shall be entitled to proceed with the reference from the point at which it was left by his predecessor. It is also a term of </w:t>
      </w:r>
      <w:r>
        <w:t>this contract that no person other than the Director (Marketing) or a person nominated by such Director (Marketing) of the Corporation as aforesaid shall act as arbitrator hereunder. The award of the arbitrator so appointed shall be final conclusive and bi</w:t>
      </w:r>
      <w:r>
        <w:t>nding on all parties, to the Agreement, subject to the provisions of the Arbitration and Conciliation Act, 1996 or any statutory modification of or reenactment thereof and the rules made thereunder and for the time being in force shall apply to the arbitra</w:t>
      </w:r>
      <w:r>
        <w:t>tion proceeding under this clause.</w:t>
      </w:r>
    </w:p>
    <w:p w:rsidR="00DE0FD9" w:rsidRDefault="00C0130B">
      <w:pPr>
        <w:pStyle w:val="Bodytext0"/>
        <w:shd w:val="clear" w:color="auto" w:fill="auto"/>
        <w:spacing w:before="0" w:line="322" w:lineRule="exact"/>
        <w:ind w:left="20" w:right="40"/>
        <w:jc w:val="both"/>
      </w:pPr>
      <w:r>
        <w:t>The award shall be made in writing within six months after entering upon the reference or within such extended time not exceeding further four months as the sole arbitrator shall by a writing under his own hands appoint.”</w:t>
      </w:r>
    </w:p>
    <w:p w:rsidR="00DE0FD9" w:rsidRDefault="00C0130B">
      <w:pPr>
        <w:pStyle w:val="Bodytext0"/>
        <w:numPr>
          <w:ilvl w:val="0"/>
          <w:numId w:val="1"/>
        </w:numPr>
        <w:shd w:val="clear" w:color="auto" w:fill="auto"/>
        <w:spacing w:before="0" w:after="296" w:line="322" w:lineRule="exact"/>
        <w:ind w:left="20" w:right="40"/>
        <w:jc w:val="both"/>
      </w:pPr>
      <w:r>
        <w:t xml:space="preserve"> Sub-sections (1), (2), (6) and (8) of Section 11 are relevant for consideration of the present matter which read as follows :</w:t>
      </w:r>
    </w:p>
    <w:p w:rsidR="00DE0FD9" w:rsidRDefault="00C0130B">
      <w:pPr>
        <w:pStyle w:val="Bodytext0"/>
        <w:shd w:val="clear" w:color="auto" w:fill="auto"/>
        <w:spacing w:before="0" w:after="304" w:line="326" w:lineRule="exact"/>
        <w:ind w:left="740" w:right="40"/>
        <w:jc w:val="both"/>
      </w:pPr>
      <w:r>
        <w:t>“11. Appointment of arbitrators.—(1) A person of any nationality may be an arbitrator, unless otherwise agreed by the parties.</w:t>
      </w:r>
    </w:p>
    <w:p w:rsidR="00DE0FD9" w:rsidRDefault="00C0130B">
      <w:pPr>
        <w:pStyle w:val="Bodytext0"/>
        <w:numPr>
          <w:ilvl w:val="0"/>
          <w:numId w:val="3"/>
        </w:numPr>
        <w:shd w:val="clear" w:color="auto" w:fill="auto"/>
        <w:spacing w:before="0" w:after="43" w:line="322" w:lineRule="exact"/>
        <w:ind w:left="740" w:right="40"/>
        <w:jc w:val="both"/>
      </w:pPr>
      <w:r>
        <w:t xml:space="preserve"> Subject to sub-section (6), the parties are free to agree on a procedure for appointing the arbitrator or arbitrators.</w:t>
      </w:r>
    </w:p>
    <w:p w:rsidR="00DE0FD9" w:rsidRDefault="00C0130B">
      <w:pPr>
        <w:pStyle w:val="Bodytext0"/>
        <w:numPr>
          <w:ilvl w:val="0"/>
          <w:numId w:val="3"/>
        </w:numPr>
        <w:shd w:val="clear" w:color="auto" w:fill="auto"/>
        <w:spacing w:before="0"/>
        <w:ind w:left="740"/>
        <w:jc w:val="both"/>
      </w:pPr>
      <w:r>
        <w:t xml:space="preserve"> to (5) xxx xxx xxx</w:t>
      </w:r>
    </w:p>
    <w:p w:rsidR="00DE0FD9" w:rsidRDefault="00C0130B">
      <w:pPr>
        <w:pStyle w:val="Bodytext0"/>
        <w:numPr>
          <w:ilvl w:val="0"/>
          <w:numId w:val="4"/>
        </w:numPr>
        <w:shd w:val="clear" w:color="auto" w:fill="auto"/>
        <w:spacing w:before="0"/>
        <w:ind w:left="740"/>
        <w:jc w:val="both"/>
      </w:pPr>
      <w:r>
        <w:t xml:space="preserve"> Where, under an appointment procedure agreed upon by the parties,-</w:t>
      </w:r>
    </w:p>
    <w:p w:rsidR="00DE0FD9" w:rsidRDefault="00C0130B">
      <w:pPr>
        <w:pStyle w:val="Bodytext0"/>
        <w:numPr>
          <w:ilvl w:val="0"/>
          <w:numId w:val="5"/>
        </w:numPr>
        <w:shd w:val="clear" w:color="auto" w:fill="auto"/>
        <w:spacing w:before="0"/>
        <w:ind w:left="740"/>
        <w:jc w:val="both"/>
      </w:pPr>
      <w:r>
        <w:t xml:space="preserve"> a party fails to act as required under that pro</w:t>
      </w:r>
      <w:r>
        <w:t>cedure; or</w:t>
      </w:r>
    </w:p>
    <w:p w:rsidR="00DE0FD9" w:rsidRDefault="00C0130B">
      <w:pPr>
        <w:pStyle w:val="Bodytext0"/>
        <w:numPr>
          <w:ilvl w:val="0"/>
          <w:numId w:val="5"/>
        </w:numPr>
        <w:shd w:val="clear" w:color="auto" w:fill="auto"/>
        <w:spacing w:before="0" w:after="300" w:line="322" w:lineRule="exact"/>
        <w:ind w:left="740" w:right="40"/>
        <w:jc w:val="both"/>
      </w:pPr>
      <w:r>
        <w:t xml:space="preserve"> the parties, or the two appointed arbitrators, fail to reach an agreement expected of them under that procedure; or</w:t>
      </w:r>
    </w:p>
    <w:p w:rsidR="00DE0FD9" w:rsidRDefault="00C0130B">
      <w:pPr>
        <w:pStyle w:val="Bodytext0"/>
        <w:numPr>
          <w:ilvl w:val="0"/>
          <w:numId w:val="5"/>
        </w:numPr>
        <w:shd w:val="clear" w:color="auto" w:fill="auto"/>
        <w:spacing w:before="0" w:after="349" w:line="322" w:lineRule="exact"/>
        <w:ind w:left="740" w:right="40"/>
        <w:jc w:val="both"/>
      </w:pPr>
      <w:r>
        <w:t xml:space="preserve"> a person, including an institution, fails to perform any function entrusted to him or it under that procedure, a party may requ</w:t>
      </w:r>
      <w:r>
        <w:t>est the Chief Justice or any person or institution designated by him to take the necessary measure, unless the agreement on the appointment procedure provides other means for securing the appointment.</w:t>
      </w:r>
    </w:p>
    <w:p w:rsidR="00DE0FD9" w:rsidRDefault="00C0130B">
      <w:pPr>
        <w:pStyle w:val="Bodytext0"/>
        <w:numPr>
          <w:ilvl w:val="0"/>
          <w:numId w:val="4"/>
        </w:numPr>
        <w:shd w:val="clear" w:color="auto" w:fill="auto"/>
        <w:spacing w:before="0" w:after="313" w:line="260" w:lineRule="exact"/>
        <w:ind w:left="740"/>
        <w:jc w:val="both"/>
      </w:pPr>
      <w:r>
        <w:t xml:space="preserve"> xxx xxx xxx</w:t>
      </w:r>
    </w:p>
    <w:p w:rsidR="00DE0FD9" w:rsidRDefault="00C0130B">
      <w:pPr>
        <w:pStyle w:val="Bodytext0"/>
        <w:numPr>
          <w:ilvl w:val="0"/>
          <w:numId w:val="4"/>
        </w:numPr>
        <w:shd w:val="clear" w:color="auto" w:fill="auto"/>
        <w:spacing w:before="0" w:after="300" w:line="322" w:lineRule="exact"/>
        <w:ind w:left="740" w:right="40"/>
        <w:jc w:val="both"/>
      </w:pPr>
      <w:r>
        <w:t xml:space="preserve"> The Chief Justice or the person or institution designated by him, in appointing an arbitrator, shall have due regard to-</w:t>
      </w:r>
    </w:p>
    <w:p w:rsidR="00DE0FD9" w:rsidRDefault="00C0130B">
      <w:pPr>
        <w:pStyle w:val="Bodytext0"/>
        <w:numPr>
          <w:ilvl w:val="0"/>
          <w:numId w:val="6"/>
        </w:numPr>
        <w:shd w:val="clear" w:color="auto" w:fill="auto"/>
        <w:spacing w:before="0" w:after="300" w:line="322" w:lineRule="exact"/>
        <w:ind w:left="740" w:right="40"/>
        <w:jc w:val="both"/>
      </w:pPr>
      <w:r>
        <w:t xml:space="preserve"> any qualifications required of the arbitrator by the agreement of the parties; and</w:t>
      </w:r>
    </w:p>
    <w:p w:rsidR="00DE0FD9" w:rsidRDefault="00C0130B">
      <w:pPr>
        <w:pStyle w:val="Bodytext0"/>
        <w:numPr>
          <w:ilvl w:val="0"/>
          <w:numId w:val="6"/>
        </w:numPr>
        <w:shd w:val="clear" w:color="auto" w:fill="auto"/>
        <w:spacing w:before="0" w:after="349" w:line="322" w:lineRule="exact"/>
        <w:ind w:left="740" w:right="40"/>
        <w:jc w:val="both"/>
      </w:pPr>
      <w:r>
        <w:t xml:space="preserve"> other considerations as are likely to secure the </w:t>
      </w:r>
      <w:r>
        <w:t>appointment of an independent and impartial arbitrator.</w:t>
      </w:r>
    </w:p>
    <w:p w:rsidR="00DE0FD9" w:rsidRDefault="00C0130B">
      <w:pPr>
        <w:pStyle w:val="Bodytext0"/>
        <w:numPr>
          <w:ilvl w:val="0"/>
          <w:numId w:val="4"/>
        </w:numPr>
        <w:shd w:val="clear" w:color="auto" w:fill="auto"/>
        <w:spacing w:before="0" w:after="308" w:line="260" w:lineRule="exact"/>
        <w:ind w:left="740"/>
        <w:jc w:val="both"/>
      </w:pPr>
      <w:r>
        <w:t xml:space="preserve"> to (12) xxx xxx xxx”.</w:t>
      </w:r>
    </w:p>
    <w:p w:rsidR="00DE0FD9" w:rsidRDefault="00C0130B">
      <w:pPr>
        <w:pStyle w:val="Bodytext0"/>
        <w:numPr>
          <w:ilvl w:val="0"/>
          <w:numId w:val="1"/>
        </w:numPr>
        <w:shd w:val="clear" w:color="auto" w:fill="auto"/>
        <w:spacing w:before="0" w:line="322" w:lineRule="exact"/>
        <w:ind w:left="20" w:right="40"/>
        <w:jc w:val="both"/>
      </w:pPr>
      <w:r>
        <w:t xml:space="preserve"> Sub-sections (3), (4) and (5) of Section 11 have no application in the present case as the parties have agreed on a procedure for appointing the arbitrator in Clause 29. Sub-se</w:t>
      </w:r>
      <w:r>
        <w:t>ction (2) provides that subject to sub-section (6), the parties are free to agree on a procedure for appointing the arbitrator or arbitrators. Sub-section</w:t>
      </w:r>
    </w:p>
    <w:p w:rsidR="00DE0FD9" w:rsidRDefault="00C0130B">
      <w:pPr>
        <w:pStyle w:val="Bodytext0"/>
        <w:numPr>
          <w:ilvl w:val="0"/>
          <w:numId w:val="7"/>
        </w:numPr>
        <w:shd w:val="clear" w:color="auto" w:fill="auto"/>
        <w:tabs>
          <w:tab w:val="left" w:pos="482"/>
        </w:tabs>
        <w:spacing w:before="0" w:after="300" w:line="322" w:lineRule="exact"/>
        <w:ind w:left="20" w:right="40"/>
        <w:jc w:val="both"/>
      </w:pPr>
      <w:r>
        <w:t>makes provision for making an application to the concerned Chief Justice for appointment of an arbitr</w:t>
      </w:r>
      <w:r>
        <w:t>ator in three circumstances, (a) a party fails to act as required under the agreed procedure or (b) the parties or the two appointed arbitrators fail to reach an agreement expected of them under that procedure or (c) a person, including an institution, fai</w:t>
      </w:r>
      <w:r>
        <w:t>ls to perform any function entrusted to him or it under that procedure. If one of the three circumstances is satisfied, the Chief Justice may exercise the jurisdiction vested in him under Section 11(6) and appoint the arbitrator. In the present case, the d</w:t>
      </w:r>
      <w:r>
        <w:t>ealer moved the Chief Justice of the Allahabad High Court under Section 11(6)(a) for an appointment of the arbitrator as the Corporation failed to act as required under Clause 29.</w:t>
      </w:r>
    </w:p>
    <w:p w:rsidR="00DE0FD9" w:rsidRDefault="00C0130B">
      <w:pPr>
        <w:pStyle w:val="Bodytext0"/>
        <w:numPr>
          <w:ilvl w:val="0"/>
          <w:numId w:val="1"/>
        </w:numPr>
        <w:shd w:val="clear" w:color="auto" w:fill="auto"/>
        <w:spacing w:before="0" w:after="300" w:line="322" w:lineRule="exact"/>
        <w:ind w:left="20" w:right="40"/>
        <w:jc w:val="both"/>
      </w:pPr>
      <w:r>
        <w:t xml:space="preserve"> The three basic facts are not in dispute, namely, (i) on 09.08.2004, the dealer called upon the Corporation by a written notice to appoint an arbitrator in accordance with the terms of Clause 29 of the agreement; (ii) the dealer made an application under </w:t>
      </w:r>
      <w:r>
        <w:t>Section 11(6) for appointment of the arbitrator on 06.12.2004; and (iii) the Corporation appointed the sole arbitrator on 28.12.2004 after the application under Section 11(6) was already made by the dealer.</w:t>
      </w:r>
    </w:p>
    <w:p w:rsidR="00DE0FD9" w:rsidRDefault="00C0130B">
      <w:pPr>
        <w:pStyle w:val="Bodytext0"/>
        <w:numPr>
          <w:ilvl w:val="0"/>
          <w:numId w:val="1"/>
        </w:numPr>
        <w:shd w:val="clear" w:color="auto" w:fill="auto"/>
        <w:spacing w:before="0" w:after="300" w:line="322" w:lineRule="exact"/>
        <w:ind w:left="20" w:right="40"/>
        <w:jc w:val="both"/>
      </w:pPr>
      <w:r>
        <w:t xml:space="preserve"> On behalf of the appellant, Mr. K.K. Venugopal, </w:t>
      </w:r>
      <w:r>
        <w:t>learned senior counsel, relied heavily upon decisions of this Court, (one) Datar Switchgears[1] and (two) Punj Lloyd[2] and submitted that the learned Chief Justice erred in holding that there was no reason to appoint any fresh arbitrator since the arbitra</w:t>
      </w:r>
      <w:r>
        <w:t>tor has been appointed by the Corporation.</w:t>
      </w:r>
    </w:p>
    <w:p w:rsidR="00DE0FD9" w:rsidRDefault="00C0130B">
      <w:pPr>
        <w:pStyle w:val="Bodytext0"/>
        <w:numPr>
          <w:ilvl w:val="0"/>
          <w:numId w:val="1"/>
        </w:numPr>
        <w:shd w:val="clear" w:color="auto" w:fill="auto"/>
        <w:spacing w:before="0" w:after="300" w:line="322" w:lineRule="exact"/>
        <w:ind w:left="20" w:right="40"/>
        <w:jc w:val="both"/>
      </w:pPr>
      <w:r>
        <w:t xml:space="preserve"> Mr. Abhinav Vashishta, learned senior counsel for the respondents, on the other hand, relied upon a decision of this Court in Northern Railway Administration[3] and submitted that while considering application un</w:t>
      </w:r>
      <w:r>
        <w:t>der Section 11(6) for appointment of arbitrator, the Court must keep in view twin requirements of Section 11(8) and, seen thus, the view of the learned Chief Justice in the impugned order does not call for any interference.</w:t>
      </w:r>
    </w:p>
    <w:p w:rsidR="00DE0FD9" w:rsidRDefault="00C0130B">
      <w:pPr>
        <w:pStyle w:val="Bodytext0"/>
        <w:numPr>
          <w:ilvl w:val="0"/>
          <w:numId w:val="1"/>
        </w:numPr>
        <w:shd w:val="clear" w:color="auto" w:fill="auto"/>
        <w:spacing w:before="0" w:after="300" w:line="322" w:lineRule="exact"/>
        <w:ind w:left="20" w:right="40"/>
        <w:jc w:val="both"/>
      </w:pPr>
      <w:r>
        <w:t xml:space="preserve"> In Datar Switchgears1, a two-Ju</w:t>
      </w:r>
      <w:r>
        <w:t>dge Bench of this Court considered the scheme of Section 11, noted the distinguishing features between Section 11(5) and Section 11(6) and then considered the question whether in a case falling under Section 11(6), the opposite party cannot appoint an arbi</w:t>
      </w:r>
      <w:r>
        <w:t>trator after the expiry of thirty days from the date of demand. This Court held that in cases arising under Section 11(6), if the opposite party has not made an appointment within thirty days of the demand, the right to make appointment is not forfeited bu</w:t>
      </w:r>
      <w:r>
        <w:t>t continues, but such an appointment has to be made before the first party makes application under Section 11 seeking appointment of an arbitrator. If no appointment has been made by the opposite party till application under Section 11(6) has been made, th</w:t>
      </w:r>
      <w:r>
        <w:t>e right of the opposite party to make appointment ceases and is forfeited.</w:t>
      </w:r>
    </w:p>
    <w:p w:rsidR="00DE0FD9" w:rsidRDefault="00C0130B">
      <w:pPr>
        <w:pStyle w:val="Bodytext0"/>
        <w:numPr>
          <w:ilvl w:val="0"/>
          <w:numId w:val="1"/>
        </w:numPr>
        <w:shd w:val="clear" w:color="auto" w:fill="auto"/>
        <w:spacing w:before="0" w:after="300" w:line="322" w:lineRule="exact"/>
        <w:ind w:left="20" w:right="40"/>
        <w:jc w:val="both"/>
      </w:pPr>
      <w:r>
        <w:t xml:space="preserve"> In Punj Lloyd2, the agreement entered into between the parties contained arbitration clause. The disputes and differences arose between the parties. Punj Lloyd (appellant) served a</w:t>
      </w:r>
      <w:r>
        <w:t xml:space="preserve"> notice on Petronet (respondent) demanding appointment of an arbitrator and reference of disputes to him. Petronet failed to act. On expiry of thirty days, Punj Lloyd moved the Chief Justice of the High Court for appointment of the arbitrator under Section</w:t>
      </w:r>
      <w:r>
        <w:t xml:space="preserve"> 11(6). Petronet had not made appointment till the date of moving the application. The designate Judge refused to appoint the arbitrator holding that the remedy available to it was to move in accordance with the agreement. Aggrieved by the said order, a wr</w:t>
      </w:r>
      <w:r>
        <w:t>it petition was filed which was dismissed and the matter reached this Court. A three- Judge Bench of this Court referred to Datar Switchgears1 and held that the matter was covered squarely by that judgment and the view taken by the designate Judge in deali</w:t>
      </w:r>
      <w:r>
        <w:t>ng with the application under Section 11(6) and the Division Bench was not right. This Court restored the application under Section 11(6) before the Chief Justice of the High Court for fresh consideration and appointment of the arbitrator in accordance wit</w:t>
      </w:r>
      <w:r>
        <w:t>h Section 11(6).</w:t>
      </w:r>
    </w:p>
    <w:p w:rsidR="00DE0FD9" w:rsidRDefault="00C0130B">
      <w:pPr>
        <w:pStyle w:val="Bodytext0"/>
        <w:numPr>
          <w:ilvl w:val="0"/>
          <w:numId w:val="1"/>
        </w:numPr>
        <w:shd w:val="clear" w:color="auto" w:fill="auto"/>
        <w:spacing w:before="0" w:after="300" w:line="322" w:lineRule="exact"/>
        <w:ind w:left="20" w:right="40"/>
        <w:jc w:val="both"/>
      </w:pPr>
      <w:r>
        <w:t xml:space="preserve"> We are in full agreement with the legal position stated by this Court in Datar Switchgears1 which has also been followed in Punj Lloyd2.</w:t>
      </w:r>
    </w:p>
    <w:p w:rsidR="00DE0FD9" w:rsidRDefault="00C0130B">
      <w:pPr>
        <w:pStyle w:val="Bodytext0"/>
        <w:numPr>
          <w:ilvl w:val="0"/>
          <w:numId w:val="1"/>
        </w:numPr>
        <w:shd w:val="clear" w:color="auto" w:fill="auto"/>
        <w:spacing w:before="0" w:after="300" w:line="322" w:lineRule="exact"/>
        <w:ind w:left="20" w:right="40"/>
        <w:jc w:val="both"/>
      </w:pPr>
      <w:r>
        <w:t xml:space="preserve"> Section 11(8) provides that Chief Justice or the designated person or institution, in appointing an </w:t>
      </w:r>
      <w:r>
        <w:t>arbitrator, shall have due regard to two aspects, (a) qualifications required of the arbitrator by the agreement of the parties; and (b) other considerations as are likely to secure the appointment of an independent and impartial arbitrator. In Northern Ra</w:t>
      </w:r>
      <w:r>
        <w:t>ilway Administration3, a three-Judge Bench of this Court considered the scheme of Section 11. Insofar as Section 11(8) is concerned, this Court stated that appointment of the arbitrator or arbitrators named in the arbitration agreement is not a must, but w</w:t>
      </w:r>
      <w:r>
        <w:t>hile making the appointment the twin requirements mentioned therein have to be kept in view.</w:t>
      </w:r>
    </w:p>
    <w:p w:rsidR="00DE0FD9" w:rsidRDefault="00C0130B">
      <w:pPr>
        <w:pStyle w:val="Bodytext0"/>
        <w:numPr>
          <w:ilvl w:val="0"/>
          <w:numId w:val="1"/>
        </w:numPr>
        <w:shd w:val="clear" w:color="auto" w:fill="auto"/>
        <w:spacing w:before="0" w:after="300" w:line="322" w:lineRule="exact"/>
        <w:ind w:left="20" w:right="40"/>
        <w:jc w:val="both"/>
      </w:pPr>
      <w:r>
        <w:t xml:space="preserve"> If we apply the legal position exposited by this Court in Datar Switchgears1 to the admitted facts, it will be seen that the Corporation has forfeited its right t</w:t>
      </w:r>
      <w:r>
        <w:t>o appoint the arbitrator. It is so for the reason that on 09.08.2004, the dealer called upon the Corporation to appoint the arbitrator in accordance with terms of Clause 29 of the agreement but that was not done till the dealer had made application under S</w:t>
      </w:r>
      <w:r>
        <w:t>ection 11(6) to the Chief Justice of the Allahabad High Court for appointment of the arbitrator. The appointment was made by the Corporation only during the pendency of the proceedings under Section 11(6). Such appointment by the Corporation after forfeitu</w:t>
      </w:r>
      <w:r>
        <w:t>re of its right is of no consequence and has not disentitled the dealer to seek appointment of the arbitrator by the Chief Justice under Section 11(6). We answer the above questions accordingly.</w:t>
      </w:r>
    </w:p>
    <w:p w:rsidR="00DE0FD9" w:rsidRDefault="00C0130B">
      <w:pPr>
        <w:pStyle w:val="Bodytext0"/>
        <w:numPr>
          <w:ilvl w:val="0"/>
          <w:numId w:val="1"/>
        </w:numPr>
        <w:shd w:val="clear" w:color="auto" w:fill="auto"/>
        <w:spacing w:before="0" w:after="300" w:line="322" w:lineRule="exact"/>
        <w:ind w:left="20" w:right="40"/>
        <w:jc w:val="both"/>
      </w:pPr>
      <w:r>
        <w:t xml:space="preserve"> Section 11(8) does not help the Corporation at all in the fact situation. Firstly, there is no qualification for the arbitrator prescribed in the agreement. Secondly, to secure the appointment of an independent and impartial arbitrator, it is rather neces</w:t>
      </w:r>
      <w:r>
        <w:t>sary that someone other than an officer of the Corporation is appointed as arbitrator once the Corporation has forfeited its right to appoint the arbitrator under Clause 29 of the agreement.</w:t>
      </w:r>
    </w:p>
    <w:p w:rsidR="00DE0FD9" w:rsidRDefault="00C0130B">
      <w:pPr>
        <w:pStyle w:val="Bodytext0"/>
        <w:numPr>
          <w:ilvl w:val="0"/>
          <w:numId w:val="1"/>
        </w:numPr>
        <w:shd w:val="clear" w:color="auto" w:fill="auto"/>
        <w:spacing w:before="0" w:after="300" w:line="322" w:lineRule="exact"/>
        <w:ind w:left="20" w:right="40"/>
        <w:jc w:val="both"/>
      </w:pPr>
      <w:r>
        <w:t xml:space="preserve"> Learned senior counsel for the Corporation, however, referred to</w:t>
      </w:r>
      <w:r>
        <w:t xml:space="preserve"> an unreported order of this Court in Newton Engineering[4]. The arbitration clause in that case was similar to the arbitration clause in the present case. The contractor had written to the Corporation to appoint E.D. (NR) as sole arbitrator as per the agr</w:t>
      </w:r>
      <w:r>
        <w:t>eement. But the Corporation wrote back to the contractor that office of E.D. (NR) has ceased to exist due to internal re-organisation. The Corporation offered to the contractor to substitute E.D.(NR) with Director (Marketing) to which contractor did not ag</w:t>
      </w:r>
      <w:r>
        <w:t>ree. The Corporation then appointed Director (Marketing) as arbitrator. The contractor made an application under Section 11(6)(c) read with Sections 13 and 15 of the 1996 Act for appointment of a retired Judge as a sole arbitrator. The Single Judge dismiss</w:t>
      </w:r>
      <w:r>
        <w:t>ed the petition filed by the contractor. Against that order, the special leave petition was filed by the contractor. This Court in paragraph 9 of the order stated as follows :</w:t>
      </w:r>
    </w:p>
    <w:p w:rsidR="00DE0FD9" w:rsidRDefault="00C0130B">
      <w:pPr>
        <w:pStyle w:val="Bodytext0"/>
        <w:shd w:val="clear" w:color="auto" w:fill="auto"/>
        <w:spacing w:before="0" w:after="240" w:line="322" w:lineRule="exact"/>
        <w:ind w:left="740" w:right="40"/>
        <w:jc w:val="both"/>
      </w:pPr>
      <w:r>
        <w:t>“9. Having regard to the express, clear and unequivocal arbitration clause betwe</w:t>
      </w:r>
      <w:r>
        <w:t>en the parties that the disputes between them shall be referred to the sole arbitration of the ED(NR) of the Corporation and, if ED(NR) was unable or unwilling to act as the sole arbitrator, the matter shall be referred to the person designated by such ED(</w:t>
      </w:r>
      <w:r>
        <w:t>NR) in his place who was willing to act as sole arbitrator and, if none of them is able to act as an arbitrator, no other person should act as arbitrator, the appointment of Director (Marketing) or his nominee as a sole arbitrator by the Corporation cannot</w:t>
      </w:r>
      <w:r>
        <w:t xml:space="preserve"> be sustained. If the office of ED(NR) ceased to exist in the Corporation and the parties were unable to reach to any agreed solution, the arbitration clause did not survive and has to be treated as having worked its course. According to the arbitration cl</w:t>
      </w:r>
      <w:r>
        <w:t>ause, sole arbitrator would be ED(NR) or his nominee and no one else. In the circumstances, it was not open to either of the parties to unilaterally appoint any arbitrator for resolution of the disputes. Sections 11(6)(c), 13 and 15 of the 1996 Act have no</w:t>
      </w:r>
      <w:r>
        <w:t xml:space="preserve"> application in light of the reasons indicated above.”</w:t>
      </w:r>
    </w:p>
    <w:p w:rsidR="00DE0FD9" w:rsidRDefault="00C0130B">
      <w:pPr>
        <w:pStyle w:val="Bodytext0"/>
        <w:numPr>
          <w:ilvl w:val="0"/>
          <w:numId w:val="1"/>
        </w:numPr>
        <w:shd w:val="clear" w:color="auto" w:fill="auto"/>
        <w:spacing w:before="0" w:after="240" w:line="322" w:lineRule="exact"/>
        <w:ind w:left="20" w:right="40"/>
        <w:jc w:val="both"/>
      </w:pPr>
      <w:r>
        <w:t xml:space="preserve"> We are afraid that what has been stated above has no application to the present fact situation. In Newton Engineering4, this Court was not concerned with the question of forfeiture of right of the Cor</w:t>
      </w:r>
      <w:r>
        <w:t>poration for appointment of an arbitrator. No such argument was raised in that case. The question raised in Newton Engineering4 was entirely different. In the present case, the Corporation has failed to act as required under the procedure agreed upon by th</w:t>
      </w:r>
      <w:r>
        <w:t>e parties in Clause 29 and despite the demand by the dealer to appoint the arbitrator, the Corporation did not make appointment until the application was made under Section 11(6). Thus, the Corporation has forfeited its right of appointment of an arbitrato</w:t>
      </w:r>
      <w:r>
        <w:t>r. In this view of the matter, the Chief Justice ought to have exercised his jurisdiction under Section 11(6) in the matter for appointment of an arbitrator appropriately. The appointment of the arbitrator by the Corporation during the pendency of proceedi</w:t>
      </w:r>
      <w:r>
        <w:t>ngs under Section 11(6) was of no consequence.</w:t>
      </w:r>
    </w:p>
    <w:p w:rsidR="00DE0FD9" w:rsidRDefault="00C0130B">
      <w:pPr>
        <w:pStyle w:val="Bodytext0"/>
        <w:numPr>
          <w:ilvl w:val="0"/>
          <w:numId w:val="1"/>
        </w:numPr>
        <w:shd w:val="clear" w:color="auto" w:fill="auto"/>
        <w:spacing w:before="0" w:after="240" w:line="322" w:lineRule="exact"/>
        <w:ind w:left="20" w:right="40"/>
        <w:jc w:val="both"/>
      </w:pPr>
      <w:r>
        <w:t xml:space="preserve"> In the course of arguments before us, on behalf of the appellant certain names of retired High Court Judges were indicated to the senior counsel for the Corporation for appointment as sole arbitrator but the </w:t>
      </w:r>
      <w:r>
        <w:t>Corporation did not agree to any of the names proposed by the appellant. In the circumstances, we are left with no choice but to send the matter back to the Chief Justice of the Allahabad High Court for an appropriate order on the application made by the d</w:t>
      </w:r>
      <w:r>
        <w:t>ealer under Section 11(6).</w:t>
      </w:r>
    </w:p>
    <w:p w:rsidR="00DE0FD9" w:rsidRDefault="00C0130B">
      <w:pPr>
        <w:pStyle w:val="Bodytext0"/>
        <w:numPr>
          <w:ilvl w:val="0"/>
          <w:numId w:val="1"/>
        </w:numPr>
        <w:shd w:val="clear" w:color="auto" w:fill="auto"/>
        <w:spacing w:before="0" w:after="289" w:line="322" w:lineRule="exact"/>
        <w:ind w:left="20" w:right="40"/>
        <w:jc w:val="both"/>
      </w:pPr>
      <w:r>
        <w:t xml:space="preserve"> Civil Appeal is, accordingly, allowed. The impugned order is set aside. Arbitration Case No. 107 of 2004, M/s. Deep Trading Company v. M/s. Indian Oil Corporation and others, is restored to the file of the High Court of Judicatu</w:t>
      </w:r>
      <w:r>
        <w:t>re at Allahabad for fresh consideration by the Chief Justice or the designate Judge, as the case may be, in accordance with law and in light of the observations made above. No costs.</w:t>
      </w:r>
    </w:p>
    <w:p w:rsidR="00DE0FD9" w:rsidRDefault="00C0130B">
      <w:pPr>
        <w:pStyle w:val="Bodytext0"/>
        <w:numPr>
          <w:ilvl w:val="0"/>
          <w:numId w:val="8"/>
        </w:numPr>
        <w:shd w:val="clear" w:color="auto" w:fill="auto"/>
        <w:spacing w:before="0" w:after="308" w:line="260" w:lineRule="exact"/>
        <w:ind w:left="20"/>
        <w:jc w:val="both"/>
      </w:pPr>
      <w:r>
        <w:t xml:space="preserve"> Datar Switchgears Ltd. v. Tata Finance Ltd. and Another: [(2000) 8 SCC 151]</w:t>
      </w:r>
    </w:p>
    <w:p w:rsidR="00DE0FD9" w:rsidRDefault="00C0130B">
      <w:pPr>
        <w:pStyle w:val="Bodytext0"/>
        <w:numPr>
          <w:ilvl w:val="0"/>
          <w:numId w:val="8"/>
        </w:numPr>
        <w:shd w:val="clear" w:color="auto" w:fill="auto"/>
        <w:spacing w:before="0" w:after="289" w:line="322" w:lineRule="exact"/>
        <w:ind w:left="20" w:right="40"/>
        <w:jc w:val="both"/>
      </w:pPr>
      <w:r>
        <w:t xml:space="preserve"> Punj Lloyd Ltd. v. Petronet MHB Ltd.: [(2006) 2 SCC 638] [3] Northern Railway Administration, Ministry of Railway, New Delhi v. Patel Engineering Company</w:t>
      </w:r>
    </w:p>
    <w:p w:rsidR="00DE0FD9" w:rsidRDefault="00C0130B">
      <w:pPr>
        <w:pStyle w:val="Bodytext0"/>
        <w:shd w:val="clear" w:color="auto" w:fill="auto"/>
        <w:spacing w:before="0" w:line="260" w:lineRule="exact"/>
        <w:ind w:left="20"/>
        <w:jc w:val="both"/>
        <w:sectPr w:rsidR="00DE0FD9">
          <w:footerReference w:type="default" r:id="rId7"/>
          <w:type w:val="continuous"/>
          <w:pgSz w:w="12240" w:h="15840"/>
          <w:pgMar w:top="1240" w:right="1409" w:bottom="1763" w:left="1427" w:header="0" w:footer="3" w:gutter="0"/>
          <w:cols w:space="720"/>
          <w:noEndnote/>
          <w:docGrid w:linePitch="360"/>
        </w:sectPr>
      </w:pPr>
      <w:r>
        <w:t>Limited: [(2008) 10 SCC 240]</w:t>
      </w:r>
    </w:p>
    <w:p w:rsidR="00DE0FD9" w:rsidRDefault="00C0130B">
      <w:pPr>
        <w:pStyle w:val="Bodytext0"/>
        <w:numPr>
          <w:ilvl w:val="0"/>
          <w:numId w:val="9"/>
        </w:numPr>
        <w:shd w:val="clear" w:color="auto" w:fill="auto"/>
        <w:tabs>
          <w:tab w:val="left" w:pos="482"/>
        </w:tabs>
        <w:spacing w:before="0" w:line="317" w:lineRule="exact"/>
        <w:ind w:right="400"/>
        <w:jc w:val="left"/>
      </w:pPr>
      <w:r>
        <w:t>M/s. Newton Engineering and Chem. Ltd. v Indian Oil Corporation Ltd. Ors.: [Civil Appeal No. 7587 of 2012</w:t>
      </w:r>
      <w:r>
        <w:t>; Decided on 18.10.2012]</w:t>
      </w:r>
    </w:p>
    <w:sectPr w:rsidR="00DE0FD9" w:rsidSect="00DE0FD9">
      <w:type w:val="continuous"/>
      <w:pgSz w:w="12240" w:h="15840"/>
      <w:pgMar w:top="1074" w:right="1248" w:bottom="12992" w:left="12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30B" w:rsidRDefault="00C0130B" w:rsidP="00DE0FD9">
      <w:r>
        <w:separator/>
      </w:r>
    </w:p>
  </w:endnote>
  <w:endnote w:type="continuationSeparator" w:id="1">
    <w:p w:rsidR="00C0130B" w:rsidRDefault="00C0130B" w:rsidP="00DE0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FD9" w:rsidRDefault="00DE0FD9">
    <w:pPr>
      <w:rPr>
        <w:sz w:val="2"/>
        <w:szCs w:val="2"/>
      </w:rPr>
    </w:pPr>
    <w:r w:rsidRPr="00DE0FD9">
      <w:pict>
        <v:shapetype id="_x0000_t202" coordsize="21600,21600" o:spt="202" path="m,l,21600r21600,l21600,xe">
          <v:stroke joinstyle="miter"/>
          <v:path gradientshapeok="t" o:connecttype="rect"/>
        </v:shapetype>
        <v:shape id="_x0000_s1025" type="#_x0000_t202" style="position:absolute;margin-left:72.2pt;margin-top:735pt;width:465.85pt;height:11.05pt;z-index:-251658752;mso-wrap-distance-left:5pt;mso-wrap-distance-right:5pt;mso-position-horizontal-relative:page;mso-position-vertical-relative:page" wrapcoords="0 0" filled="f" stroked="f">
          <v:textbox style="mso-fit-shape-to-text:t" inset="0,0,0,0">
            <w:txbxContent>
              <w:p w:rsidR="00DE0FD9" w:rsidRDefault="00C0130B">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C0130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30B" w:rsidRDefault="00C0130B"/>
  </w:footnote>
  <w:footnote w:type="continuationSeparator" w:id="1">
    <w:p w:rsidR="00C0130B" w:rsidRDefault="00C0130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5B2A"/>
    <w:multiLevelType w:val="multilevel"/>
    <w:tmpl w:val="6316BB8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AD3D44"/>
    <w:multiLevelType w:val="multilevel"/>
    <w:tmpl w:val="5184CD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EA2853"/>
    <w:multiLevelType w:val="multilevel"/>
    <w:tmpl w:val="452E7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EE2D62"/>
    <w:multiLevelType w:val="multilevel"/>
    <w:tmpl w:val="814CC3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BB797C"/>
    <w:multiLevelType w:val="multilevel"/>
    <w:tmpl w:val="C8DAD1D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CF32F4"/>
    <w:multiLevelType w:val="multilevel"/>
    <w:tmpl w:val="E33E50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2F1F88"/>
    <w:multiLevelType w:val="multilevel"/>
    <w:tmpl w:val="9D763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DC1B1D"/>
    <w:multiLevelType w:val="multilevel"/>
    <w:tmpl w:val="A28A30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2E07F7"/>
    <w:multiLevelType w:val="multilevel"/>
    <w:tmpl w:val="9EBE89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0"/>
  </w:num>
  <w:num w:numId="5">
    <w:abstractNumId w:val="3"/>
  </w:num>
  <w:num w:numId="6">
    <w:abstractNumId w:val="7"/>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E0FD9"/>
    <w:rsid w:val="00C0130B"/>
    <w:rsid w:val="00DE0FD9"/>
    <w:rsid w:val="00F30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0F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0FD9"/>
    <w:rPr>
      <w:color w:val="0066CC"/>
      <w:u w:val="single"/>
    </w:rPr>
  </w:style>
  <w:style w:type="character" w:customStyle="1" w:styleId="Bodytext2">
    <w:name w:val="Body text (2)_"/>
    <w:basedOn w:val="DefaultParagraphFont"/>
    <w:link w:val="Bodytext20"/>
    <w:rsid w:val="00DE0FD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E0F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E0FD9"/>
    <w:rPr>
      <w:color w:val="000000"/>
      <w:spacing w:val="0"/>
      <w:w w:val="100"/>
      <w:position w:val="0"/>
      <w:lang w:val="en-US" w:eastAsia="en-US" w:bidi="en-US"/>
    </w:rPr>
  </w:style>
  <w:style w:type="character" w:customStyle="1" w:styleId="Bodytext">
    <w:name w:val="Body text_"/>
    <w:basedOn w:val="DefaultParagraphFont"/>
    <w:link w:val="Bodytext0"/>
    <w:rsid w:val="00DE0FD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E0FD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E0FD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E0FD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2799</Words>
  <Characters>15955</Characters>
  <Application>Microsoft Office Word</Application>
  <DocSecurity>0</DocSecurity>
  <Lines>132</Lines>
  <Paragraphs>37</Paragraphs>
  <ScaleCrop>false</ScaleCrop>
  <Company/>
  <LinksUpToDate>false</LinksUpToDate>
  <CharactersWithSpaces>18717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2017-06-02T05:45:00Z</dcterms:created>
  <dcterms:modified xsi:type="dcterms:W3CDTF">2017-06-02T05:45:00Z</dcterms:modified>
</cp:coreProperties>
</file>