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9F" w:rsidRDefault="003F151A" w:rsidP="00234225">
      <w:pPr>
        <w:pStyle w:val="Bodytext20"/>
        <w:shd w:val="clear" w:color="auto" w:fill="auto"/>
        <w:spacing w:after="0" w:line="240" w:lineRule="auto"/>
        <w:ind w:left="14"/>
      </w:pPr>
      <w:r>
        <w:t>SUPREME COURT OF INDIA</w:t>
      </w:r>
    </w:p>
    <w:p w:rsidR="00234225" w:rsidRDefault="00234225" w:rsidP="00234225">
      <w:pPr>
        <w:pStyle w:val="Bodytext20"/>
        <w:shd w:val="clear" w:color="auto" w:fill="auto"/>
        <w:spacing w:after="0" w:line="240" w:lineRule="auto"/>
        <w:ind w:left="14"/>
      </w:pPr>
    </w:p>
    <w:p w:rsidR="000B589F" w:rsidRDefault="003F151A" w:rsidP="00234225">
      <w:pPr>
        <w:pStyle w:val="Bodytext0"/>
        <w:shd w:val="clear" w:color="auto" w:fill="auto"/>
        <w:spacing w:before="0" w:line="240" w:lineRule="auto"/>
        <w:ind w:left="14"/>
      </w:pPr>
      <w:r>
        <w:t>Premwati</w:t>
      </w:r>
    </w:p>
    <w:p w:rsidR="00234225" w:rsidRDefault="00234225" w:rsidP="00234225">
      <w:pPr>
        <w:pStyle w:val="Bodytext0"/>
        <w:shd w:val="clear" w:color="auto" w:fill="auto"/>
        <w:spacing w:before="0" w:line="240" w:lineRule="auto"/>
        <w:ind w:left="14"/>
      </w:pPr>
    </w:p>
    <w:p w:rsidR="000B589F" w:rsidRDefault="003F151A" w:rsidP="00234225">
      <w:pPr>
        <w:pStyle w:val="Bodytext0"/>
        <w:shd w:val="clear" w:color="auto" w:fill="auto"/>
        <w:spacing w:before="0" w:line="240" w:lineRule="auto"/>
        <w:ind w:left="14"/>
      </w:pPr>
      <w:r>
        <w:t>Vs.</w:t>
      </w:r>
    </w:p>
    <w:p w:rsidR="00234225" w:rsidRDefault="00234225" w:rsidP="00234225">
      <w:pPr>
        <w:pStyle w:val="Bodytext0"/>
        <w:shd w:val="clear" w:color="auto" w:fill="auto"/>
        <w:spacing w:before="0" w:line="240" w:lineRule="auto"/>
        <w:ind w:left="14"/>
      </w:pPr>
    </w:p>
    <w:p w:rsidR="00234225" w:rsidRDefault="003F151A" w:rsidP="00234225">
      <w:pPr>
        <w:pStyle w:val="Bodytext0"/>
        <w:shd w:val="clear" w:color="auto" w:fill="auto"/>
        <w:spacing w:before="0" w:line="240" w:lineRule="auto"/>
        <w:ind w:left="14"/>
      </w:pPr>
      <w:r>
        <w:t xml:space="preserve">Union of India </w:t>
      </w:r>
    </w:p>
    <w:p w:rsidR="00234225" w:rsidRDefault="00234225" w:rsidP="00234225">
      <w:pPr>
        <w:pStyle w:val="Bodytext0"/>
        <w:shd w:val="clear" w:color="auto" w:fill="auto"/>
        <w:spacing w:before="0" w:line="240" w:lineRule="auto"/>
        <w:ind w:left="14"/>
      </w:pPr>
    </w:p>
    <w:p w:rsidR="000B589F" w:rsidRDefault="003F151A" w:rsidP="00234225">
      <w:pPr>
        <w:pStyle w:val="Bodytext0"/>
        <w:shd w:val="clear" w:color="auto" w:fill="auto"/>
        <w:spacing w:before="0" w:line="240" w:lineRule="auto"/>
        <w:ind w:left="14"/>
      </w:pPr>
      <w:r>
        <w:t>C.A.No.949 of 2005</w:t>
      </w:r>
    </w:p>
    <w:p w:rsidR="00234225" w:rsidRDefault="00234225" w:rsidP="00234225">
      <w:pPr>
        <w:pStyle w:val="Bodytext0"/>
        <w:shd w:val="clear" w:color="auto" w:fill="auto"/>
        <w:spacing w:before="0" w:line="240" w:lineRule="auto"/>
        <w:ind w:left="14"/>
      </w:pPr>
    </w:p>
    <w:p w:rsidR="000B589F" w:rsidRDefault="003F151A" w:rsidP="00234225">
      <w:pPr>
        <w:pStyle w:val="Bodytext0"/>
        <w:shd w:val="clear" w:color="auto" w:fill="auto"/>
        <w:spacing w:before="0" w:line="240" w:lineRule="auto"/>
        <w:ind w:left="14"/>
      </w:pPr>
      <w:r>
        <w:t>(Dr.B.S.Chauhan and Fakkir Mohamed Ibrahim Kalifulla JJ.)</w:t>
      </w:r>
    </w:p>
    <w:p w:rsidR="00234225" w:rsidRDefault="00234225" w:rsidP="00234225">
      <w:pPr>
        <w:pStyle w:val="Bodytext0"/>
        <w:shd w:val="clear" w:color="auto" w:fill="auto"/>
        <w:spacing w:before="0" w:line="240" w:lineRule="auto"/>
        <w:ind w:left="14"/>
      </w:pPr>
    </w:p>
    <w:p w:rsidR="00234225" w:rsidRDefault="003F151A" w:rsidP="00234225">
      <w:pPr>
        <w:pStyle w:val="Bodytext20"/>
        <w:shd w:val="clear" w:color="auto" w:fill="auto"/>
        <w:spacing w:after="0" w:line="240" w:lineRule="auto"/>
        <w:ind w:left="14" w:right="3220" w:firstLine="4100"/>
        <w:jc w:val="left"/>
        <w:rPr>
          <w:rStyle w:val="Bodytext2NotBold"/>
        </w:rPr>
      </w:pPr>
      <w:r>
        <w:rPr>
          <w:rStyle w:val="Bodytext2NotBold"/>
        </w:rPr>
        <w:t xml:space="preserve">02.07.2013 </w:t>
      </w:r>
    </w:p>
    <w:p w:rsidR="00234225" w:rsidRDefault="00234225" w:rsidP="00234225">
      <w:pPr>
        <w:pStyle w:val="Bodytext20"/>
        <w:shd w:val="clear" w:color="auto" w:fill="auto"/>
        <w:spacing w:after="0" w:line="240" w:lineRule="auto"/>
        <w:ind w:right="3220"/>
        <w:jc w:val="left"/>
        <w:rPr>
          <w:rStyle w:val="Bodytext2NotBold"/>
        </w:rPr>
      </w:pPr>
    </w:p>
    <w:p w:rsidR="00234225" w:rsidRDefault="003F151A" w:rsidP="00234225">
      <w:pPr>
        <w:pStyle w:val="Bodytext20"/>
        <w:shd w:val="clear" w:color="auto" w:fill="auto"/>
        <w:spacing w:after="0" w:line="240" w:lineRule="auto"/>
        <w:ind w:right="3220"/>
        <w:jc w:val="left"/>
      </w:pPr>
      <w:r>
        <w:t xml:space="preserve">JUDGMENT </w:t>
      </w:r>
    </w:p>
    <w:p w:rsidR="00234225" w:rsidRDefault="00234225" w:rsidP="00234225">
      <w:pPr>
        <w:pStyle w:val="Bodytext20"/>
        <w:shd w:val="clear" w:color="auto" w:fill="auto"/>
        <w:spacing w:after="0" w:line="240" w:lineRule="auto"/>
        <w:ind w:right="3220"/>
        <w:jc w:val="left"/>
      </w:pPr>
    </w:p>
    <w:p w:rsidR="000B589F" w:rsidRDefault="00234225" w:rsidP="00234225">
      <w:pPr>
        <w:pStyle w:val="Bodytext20"/>
        <w:shd w:val="clear" w:color="auto" w:fill="auto"/>
        <w:spacing w:after="0" w:line="240" w:lineRule="auto"/>
        <w:ind w:left="14" w:right="3220"/>
        <w:jc w:val="left"/>
      </w:pPr>
      <w:r>
        <w:t>Fakkir Mohamed Ibr</w:t>
      </w:r>
      <w:r>
        <w:rPr>
          <w:rStyle w:val="Bodytext21"/>
          <w:b/>
          <w:bCs/>
        </w:rPr>
        <w:t>ahim</w:t>
      </w:r>
      <w:r>
        <w:t xml:space="preserve"> Kalifulla, J.</w:t>
      </w:r>
    </w:p>
    <w:p w:rsidR="00234225" w:rsidRDefault="00234225" w:rsidP="00234225">
      <w:pPr>
        <w:pStyle w:val="Bodytext20"/>
        <w:shd w:val="clear" w:color="auto" w:fill="auto"/>
        <w:spacing w:after="0" w:line="240" w:lineRule="auto"/>
        <w:ind w:left="14" w:right="3220"/>
        <w:jc w:val="left"/>
      </w:pPr>
    </w:p>
    <w:p w:rsidR="000B589F" w:rsidRDefault="003F151A" w:rsidP="00234225">
      <w:pPr>
        <w:pStyle w:val="Bodytext0"/>
        <w:numPr>
          <w:ilvl w:val="0"/>
          <w:numId w:val="1"/>
        </w:numPr>
        <w:shd w:val="clear" w:color="auto" w:fill="auto"/>
        <w:spacing w:before="0" w:line="240" w:lineRule="auto"/>
        <w:ind w:left="14" w:right="40"/>
        <w:jc w:val="both"/>
      </w:pPr>
      <w:r>
        <w:t xml:space="preserve"> These two appeals arise out of a common judgment of the Division Bench of Delhi High Court dated 07.02.2003, passed in batch of first appeals commencing from RFA No.167 of 1991 etc. We are concerned with the judgments passed in RFA No.132 of 1999, wherein</w:t>
      </w:r>
      <w:r>
        <w:t xml:space="preserve"> the appellant in C.A.No.949 of 2005, was the appellant before the High Court and RFA No.129 of 1999, wherein the appellant in C.A.No.2443 of 2005 was the appellant before the High Court. The appellants were husband and wife. The appellant in C.A.No.2443 o</w:t>
      </w:r>
      <w:r>
        <w:t>f 2005, died during the pendency of the appeal before the High Court and the appeal was pursued by his LRs.</w:t>
      </w:r>
    </w:p>
    <w:p w:rsidR="000B589F" w:rsidRDefault="003F151A">
      <w:pPr>
        <w:pStyle w:val="Bodytext0"/>
        <w:numPr>
          <w:ilvl w:val="0"/>
          <w:numId w:val="1"/>
        </w:numPr>
        <w:shd w:val="clear" w:color="auto" w:fill="auto"/>
        <w:spacing w:before="0" w:after="300" w:line="322" w:lineRule="exact"/>
        <w:ind w:left="20" w:right="40"/>
        <w:jc w:val="both"/>
      </w:pPr>
      <w:r>
        <w:t xml:space="preserve"> The question involved in these two appeals is about the value of the land to be determined under the provisions of the Land Acquisition Act, 1894 (</w:t>
      </w:r>
      <w:r>
        <w:t>hereinafter referred to as ‘the Act’). There was a Notification under Section 4 of the Act, issued on 26.03.1983, followed by a Notification issued under Section 17(1) of the Act, in respect of the lands situated in Shahibabad Daulatpur, Khera Kalan, Siras</w:t>
      </w:r>
      <w:r>
        <w:t>pur and Samaipur villages. Under Section 6 of the Act a declaration was also made on the same date viz., 26.03.1983. The lands of the appellants before us were all situated in the village Shahibabad Daulatpur. The extent of land acquired from the appellant</w:t>
      </w:r>
      <w:r>
        <w:t xml:space="preserve">s were 94 bighas and 2 biswas bearing different Khasra Nos. covered by </w:t>
      </w:r>
      <w:r>
        <w:rPr>
          <w:rStyle w:val="BodytextSmallCaps"/>
        </w:rPr>
        <w:t>lAc</w:t>
      </w:r>
      <w:r>
        <w:t xml:space="preserve"> case Nos.27 of 93 and 23 of 1993. The other extent of land was 4 biswas in Khasra No.33/26, covered by LAC case Nos.28 of 1993 and 29 of 1993. The concerned Awards were Award Nos.26</w:t>
      </w:r>
      <w:r>
        <w:t xml:space="preserve">/83-84 and 57/83-84 respectively. The Awards were dated 01.08.1983 and 26.09.1983 respectively. As per the Award, the value of the lands were fixed by the Acquisition Officer in a sum </w:t>
      </w:r>
      <w:r>
        <w:lastRenderedPageBreak/>
        <w:t xml:space="preserve">of Rs.13,000/- per bigha, in respect of the lands falling under Block-A </w:t>
      </w:r>
      <w:r>
        <w:t>and Rs.6,000/- per bigha, in respect of the lands falling under Block-B. The same was the value fixed in Award No.57/83-84. Aggrieved by the compensation fixed under the Award, the appellants preferred LAC case Nos. 23, 27, 28 and 29 of 1993.</w:t>
      </w:r>
    </w:p>
    <w:p w:rsidR="000B589F" w:rsidRDefault="003F151A">
      <w:pPr>
        <w:pStyle w:val="Bodytext0"/>
        <w:numPr>
          <w:ilvl w:val="0"/>
          <w:numId w:val="1"/>
        </w:numPr>
        <w:shd w:val="clear" w:color="auto" w:fill="auto"/>
        <w:spacing w:before="0" w:after="300" w:line="322" w:lineRule="exact"/>
        <w:ind w:left="20" w:right="40"/>
        <w:jc w:val="both"/>
      </w:pPr>
      <w:r>
        <w:t xml:space="preserve"> The referenc</w:t>
      </w:r>
      <w:r>
        <w:t>e Court by its judgment dated 07.01.1998, determined the value in respect of both categories of land viz., A and B in a sum of Rs.17,500/- per bigha and in respect of the lands abutting the road in a sum of Rs.18,000/- per bigha. Before the reference Court</w:t>
      </w:r>
      <w:r>
        <w:t>, the appellants initially claimed compensation at the rate of Rs.50,000/- per bigha, but later on they amended their petition and claimed the market value in a sum of Rs.1,25,000/- per bigha. Aggrieved by the value fixed by the reference Court, the appell</w:t>
      </w:r>
      <w:r>
        <w:t>ants approached the High Court and the High Court by the impugned judgment enhanced the value to a sum of Rs.42,000/- per bigha. Aggrieved against the same, the appellants have come forward with these appeals.</w:t>
      </w:r>
    </w:p>
    <w:p w:rsidR="000B589F" w:rsidRDefault="003F151A">
      <w:pPr>
        <w:pStyle w:val="Bodytext0"/>
        <w:numPr>
          <w:ilvl w:val="0"/>
          <w:numId w:val="1"/>
        </w:numPr>
        <w:shd w:val="clear" w:color="auto" w:fill="auto"/>
        <w:spacing w:before="0" w:after="300" w:line="322" w:lineRule="exact"/>
        <w:ind w:left="20" w:right="40"/>
        <w:jc w:val="both"/>
      </w:pPr>
      <w:r>
        <w:t xml:space="preserve"> We have heard Mr.Sanjay Sharawat, learned cou</w:t>
      </w:r>
      <w:r>
        <w:t>nsel appearing for the appellants and Ms.Rekha Pandey, learned counsel for the respondent (s). We have also perused the Award, the judgment of the Reference Court, as well as that of the Division Bench of the High Court and other material papers placed bef</w:t>
      </w:r>
      <w:r>
        <w:t>ore us.</w:t>
      </w:r>
    </w:p>
    <w:p w:rsidR="000B589F" w:rsidRDefault="003F151A">
      <w:pPr>
        <w:pStyle w:val="Bodytext0"/>
        <w:numPr>
          <w:ilvl w:val="0"/>
          <w:numId w:val="1"/>
        </w:numPr>
        <w:shd w:val="clear" w:color="auto" w:fill="auto"/>
        <w:spacing w:before="0" w:after="300" w:line="322" w:lineRule="exact"/>
        <w:ind w:left="20" w:right="40"/>
        <w:jc w:val="both"/>
      </w:pPr>
      <w:r>
        <w:t xml:space="preserve"> Having considered the respective submissions and the judgment impugned, along with the other material papers, we are of the considered opinion that further enhancement to a marginal extent can be justifiably granted in favour of the appellants.</w:t>
      </w:r>
    </w:p>
    <w:p w:rsidR="000B589F" w:rsidRDefault="003F151A">
      <w:pPr>
        <w:pStyle w:val="Bodytext0"/>
        <w:numPr>
          <w:ilvl w:val="0"/>
          <w:numId w:val="1"/>
        </w:numPr>
        <w:shd w:val="clear" w:color="auto" w:fill="auto"/>
        <w:spacing w:before="0" w:after="300" w:line="322" w:lineRule="exact"/>
        <w:ind w:left="20" w:right="40"/>
        <w:jc w:val="both"/>
      </w:pPr>
      <w:r>
        <w:t xml:space="preserve"> W</w:t>
      </w:r>
      <w:r>
        <w:t>hen we perused the judgments of the Reference Court, we find that on behalf of the appellants, four witnesses were examined. P.W.1 Shri Jasbir Rana, is the son of the original appellant Rajinder Singh, P.W.2 Shri Rehmat Ilahi, who was a Reader in the Offic</w:t>
      </w:r>
      <w:r>
        <w:t xml:space="preserve">e of the Deputy Commissioner, Delhi at the relevant time, P.W.3 Halqa Patwari Rajinder Singh, was examined to show that Aks Sajra of village Shahibabad Daulatpur and P.W.4 Shri Jaswahar, was a witness from the Ministry of Urban Development, Nirman Bhavan, </w:t>
      </w:r>
      <w:r>
        <w:t>New Delhi. On the side of the respondents, no evidence was let in, while two documents were tendered at the instance of the learned counsel for the respondents. One of the documents was the judgment of the Additional District Judge dated 30.03.1987, pertai</w:t>
      </w:r>
      <w:r>
        <w:t>ning to the same village, as well as the same notification dated 26.03.1983 and the second document was a copy of the Award under Reference being Award No.26/83-84 which were marked as Exs. R1 and R2.</w:t>
      </w:r>
    </w:p>
    <w:p w:rsidR="000B589F" w:rsidRDefault="003F151A">
      <w:pPr>
        <w:pStyle w:val="Bodytext0"/>
        <w:numPr>
          <w:ilvl w:val="0"/>
          <w:numId w:val="1"/>
        </w:numPr>
        <w:shd w:val="clear" w:color="auto" w:fill="auto"/>
        <w:spacing w:before="0" w:after="300" w:line="322" w:lineRule="exact"/>
        <w:ind w:left="40" w:right="40"/>
        <w:jc w:val="both"/>
      </w:pPr>
      <w:r>
        <w:t xml:space="preserve"> On behalf of the appellants reliance was placed upon a</w:t>
      </w:r>
      <w:r>
        <w:t>n earlier Division Bench decision of the Delhi High Court. While enhancing the compensation to a sum of Rs.42,000/- per bigha, the High Court relied upon its earlier judgment in Balbir Singh Vs. Union of India dated 30.10.1991, in RFA No.810 of 1988, which</w:t>
      </w:r>
      <w:r>
        <w:t xml:space="preserve"> was reported in 50 (1993) DLT 40. In Balbir Singh’s case, the question related to the value of the land in respect of the lands acquired in Siraspur village for planned development of Delhi, in particular for setting up an industrial estate. Notification </w:t>
      </w:r>
      <w:r>
        <w:t>under Section 4 of the Act in that case was dated 27.07.1984 and the total extent of land acquired was 2123 bighas and 5 biswas. The land value fixed by the Acquisition Officer was Rs.17,000/- per bigha for category A lands and Rs.13,000/- per bigha for ca</w:t>
      </w:r>
      <w:r>
        <w:t>tegory B lands. The reference Court enhanced it to Rs.25,000/- per bigha for A category and Rs.21,000/- per bigha for B category. In respect of some of the lands in B category, it was fixed at Rs.22,000/- per bigha. The High Court enhanced it to a sum of R</w:t>
      </w:r>
      <w:r>
        <w:t>s.50,000/- per bigha for leveled land and Rs.45,000/- per bigha for the lands in depression.</w:t>
      </w:r>
    </w:p>
    <w:p w:rsidR="000B589F" w:rsidRDefault="003F151A">
      <w:pPr>
        <w:pStyle w:val="Bodytext0"/>
        <w:numPr>
          <w:ilvl w:val="0"/>
          <w:numId w:val="1"/>
        </w:numPr>
        <w:shd w:val="clear" w:color="auto" w:fill="auto"/>
        <w:spacing w:before="0" w:after="300" w:line="322" w:lineRule="exact"/>
        <w:ind w:left="40" w:right="40"/>
        <w:jc w:val="both"/>
      </w:pPr>
      <w:r>
        <w:t xml:space="preserve"> While fixing the land value at Rs.50,000/- per bigha in Balbir Singh’s case, the High Court took into consideration the sale deeds, which were executed between th</w:t>
      </w:r>
      <w:r>
        <w:t>e periods 18.01.1982 to 22.07.1983, which was in the range of Rs.25,000/- to Rs.96,000/- per bigha. Certain other considerations also weighed with the High Court, while determining the land value in Balbir Singh’s case, but we are not concerned with the sa</w:t>
      </w:r>
      <w:r>
        <w:t>me.</w:t>
      </w:r>
    </w:p>
    <w:p w:rsidR="000B589F" w:rsidRDefault="003F151A">
      <w:pPr>
        <w:pStyle w:val="Bodytext0"/>
        <w:numPr>
          <w:ilvl w:val="0"/>
          <w:numId w:val="1"/>
        </w:numPr>
        <w:shd w:val="clear" w:color="auto" w:fill="auto"/>
        <w:spacing w:before="0" w:after="300" w:line="322" w:lineRule="exact"/>
        <w:ind w:left="40" w:right="40"/>
        <w:jc w:val="both"/>
      </w:pPr>
      <w:r>
        <w:t xml:space="preserve"> One other relevant factor which is required to be noted in the case on hand was that though in Balbir Singh’s case, the lands were actually situated in the revenue estate of Siraspur, the High Court chose to rely on the same. In the case on hand, while en</w:t>
      </w:r>
      <w:r>
        <w:t>hancing the value to Rs.42,000/-, the High Court applied the rule of depreciated value, in as much as the acquisition in respect of Siraspur village in Balbir Singh’s case was pursuant to Section 4 Notification, dated 27.07.1984. It is relevant to note tha</w:t>
      </w:r>
      <w:r>
        <w:t>t the present acquisition was made pursuant to Section 4 Notifications of August 1983 and September 1983. The Division Bench therefore, deducted the value by 12% per annum on the sum of Rs.50,000/- and arrived at Rs.42,000/- per bigha.</w:t>
      </w:r>
    </w:p>
    <w:p w:rsidR="000B589F" w:rsidRDefault="003F151A">
      <w:pPr>
        <w:pStyle w:val="Bodytext0"/>
        <w:numPr>
          <w:ilvl w:val="0"/>
          <w:numId w:val="1"/>
        </w:numPr>
        <w:shd w:val="clear" w:color="auto" w:fill="auto"/>
        <w:spacing w:before="0" w:after="300" w:line="322" w:lineRule="exact"/>
        <w:ind w:left="20" w:right="40"/>
        <w:jc w:val="both"/>
      </w:pPr>
      <w:r>
        <w:t xml:space="preserve"> For applying the sa</w:t>
      </w:r>
      <w:r>
        <w:t>id rate, the Division Bench relied upon another decision of the Delhi High Court in Bedi Ram Vs. Union of India and another, reported in 93 (2001) DLT 150, where the lands situated in the estate of Samaipur, which was also one of the villages governed by t</w:t>
      </w:r>
      <w:r>
        <w:t xml:space="preserve">he present acquisition proceedings. One other relevant factor which is required to be noted is that P.W.3, who is Halqa Patwari, has deposed before the reference Court and confirmed that the site plan marked as ‘E’ is the correct consolidated site plan of </w:t>
      </w:r>
      <w:r>
        <w:t>village Samaipur and village Shahibabad Daulatpur. He also further confirmed that the boundaries of village Shahibabad Daulatpur and of village Samaipur are adjoining and continuous. By relying upon the testimony of P.W.1, the son of the appellant, as well</w:t>
      </w:r>
      <w:r>
        <w:t xml:space="preserve"> as P.W.3 the Halqa Patwari, it was contended that the lands of the two villages viz., Shahhibabad Daulatpur and village Samaipur are adjoining villages and, therefore, the market value of the lands of these two villages cannot be different.</w:t>
      </w:r>
    </w:p>
    <w:p w:rsidR="000B589F" w:rsidRDefault="003F151A">
      <w:pPr>
        <w:pStyle w:val="Bodytext0"/>
        <w:numPr>
          <w:ilvl w:val="0"/>
          <w:numId w:val="1"/>
        </w:numPr>
        <w:shd w:val="clear" w:color="auto" w:fill="auto"/>
        <w:spacing w:before="0" w:after="300" w:line="322" w:lineRule="exact"/>
        <w:ind w:left="20" w:right="40"/>
        <w:jc w:val="both"/>
      </w:pPr>
      <w:r>
        <w:t xml:space="preserve"> The High Cour</w:t>
      </w:r>
      <w:r>
        <w:t>t has in fact accepted the submission by referring to village Siraspur with reference to the lands, pertaining to the said village in Balbir Singh’s case, in which a year later, the value of the land was fixed to a sum of Rs.50,000/- per bigha.</w:t>
      </w:r>
    </w:p>
    <w:p w:rsidR="000B589F" w:rsidRDefault="003F151A">
      <w:pPr>
        <w:pStyle w:val="Bodytext0"/>
        <w:numPr>
          <w:ilvl w:val="0"/>
          <w:numId w:val="1"/>
        </w:numPr>
        <w:shd w:val="clear" w:color="auto" w:fill="auto"/>
        <w:spacing w:before="0" w:line="322" w:lineRule="exact"/>
        <w:ind w:left="20" w:right="40"/>
        <w:jc w:val="both"/>
      </w:pPr>
      <w:r>
        <w:t xml:space="preserve"> Keeping th</w:t>
      </w:r>
      <w:r>
        <w:t>e above factors in mind, when we consider the submissions of the learned counsel for the appellants, we find that the reasoning of the Division Bench of the High Court in having relied upon Balbir Singh’s case and Bedi Ram’s case was perfectly justified. W</w:t>
      </w:r>
      <w:r>
        <w:t xml:space="preserve">e would, however, hasten to add that when once the Division Bench rightly felt that whatever was decided in Balbir Singh’s case, so far as it related to the value of the land fixed therein, can be applied even in respect of the land situated in Shahibabad </w:t>
      </w:r>
      <w:r>
        <w:t>Daulatpur, which is an adjacent village and the acquisition in respect of the lands in the said village was made simultaneously along with the lands situated in Samaipur and Siraspur villages, are of the considered opinion that the same value, which was ap</w:t>
      </w:r>
      <w:r>
        <w:t xml:space="preserve">plied in Balbir Singh’s case should have been applied even in respect of the lands belonging to the appellants. We say so because, we find in Balbir Singh’s case, while fixing the land value in a sum of Rs.50,000/- per bigha, the High Court considered the </w:t>
      </w:r>
      <w:r>
        <w:t>various sale deeds of the period between 18.01.1982 and 22.07.1983.</w:t>
      </w:r>
    </w:p>
    <w:p w:rsidR="000B589F" w:rsidRDefault="003F151A">
      <w:pPr>
        <w:pStyle w:val="Bodytext0"/>
        <w:numPr>
          <w:ilvl w:val="0"/>
          <w:numId w:val="1"/>
        </w:numPr>
        <w:shd w:val="clear" w:color="auto" w:fill="auto"/>
        <w:spacing w:before="0" w:after="300" w:line="322" w:lineRule="exact"/>
        <w:ind w:left="20" w:right="40"/>
        <w:jc w:val="both"/>
      </w:pPr>
      <w:r>
        <w:t xml:space="preserve"> In the case on hand, we are concerned with the land situated in Shahibabad Daulatpur village and the extent of land which were acquired from the appellants was 94 bighas 2 biswas of diffe</w:t>
      </w:r>
      <w:r>
        <w:t>rent Khasra Nos. covered by Award No.26/83-84 and 4 biswas in Khasra No.33/26, covered by Award No.57/83-84. Thus, the extent of land acquired from the appellants were also considerably large. The total extent of land thus, acquired in all the four village</w:t>
      </w:r>
      <w:r>
        <w:t>s were around 785 bighas of continuous lands and the acquisition was for the purpose of establishing the Delhi Technological University.</w:t>
      </w:r>
    </w:p>
    <w:p w:rsidR="000B589F" w:rsidRDefault="003F151A">
      <w:pPr>
        <w:pStyle w:val="Bodytext0"/>
        <w:numPr>
          <w:ilvl w:val="0"/>
          <w:numId w:val="1"/>
        </w:numPr>
        <w:shd w:val="clear" w:color="auto" w:fill="auto"/>
        <w:spacing w:before="0" w:after="300" w:line="322" w:lineRule="exact"/>
        <w:ind w:left="20" w:right="40"/>
        <w:jc w:val="both"/>
      </w:pPr>
      <w:r>
        <w:t xml:space="preserve"> We are, therefore, of the view that while every other reasoning of the Division Bench in adopting the value, which was</w:t>
      </w:r>
      <w:r>
        <w:t xml:space="preserve"> fixed in Balbir Singh’s case was justified, there is no need to deduct any amount from the said value, in as much as the exemplar relied upon by the Division Bench in Balbir Singh’s case, were all sale deeds pertaining to the period 18.01.1982 to 22.07.19</w:t>
      </w:r>
      <w:r>
        <w:t>83 i.e., prior to the very first notification issued in respect of the present acquisition of all the four villages viz., 01.08.1983, which notification pertains to the lands belonging to the appellants which were situated in Sahibabad Daulatpur village.</w:t>
      </w:r>
    </w:p>
    <w:p w:rsidR="000B589F" w:rsidRDefault="003F151A">
      <w:pPr>
        <w:pStyle w:val="Bodytext0"/>
        <w:numPr>
          <w:ilvl w:val="0"/>
          <w:numId w:val="1"/>
        </w:numPr>
        <w:shd w:val="clear" w:color="auto" w:fill="auto"/>
        <w:spacing w:before="0" w:after="300" w:line="322" w:lineRule="exact"/>
        <w:ind w:left="20" w:right="40"/>
        <w:jc w:val="both"/>
      </w:pPr>
      <w:r>
        <w:t xml:space="preserve"> </w:t>
      </w:r>
      <w:r>
        <w:t>Therefore, even while confirming the reasoning of the Division Bench in relying upon Balbir Singh’s case for enhancing the value, we only modify the rate fixed by the Division Bench to a sum of Rs.50,000/- per bigha instead of Rs.42,000/- per bigha. With t</w:t>
      </w:r>
      <w:r>
        <w:t>he modification only in respect to the rate per bigha, in all other respects the Division Bench decision deserves to be confirmed. We however, do not find any merit in the claim of the appellants for claiming any further enhancement beyond the sum of Rs.50</w:t>
      </w:r>
      <w:r>
        <w:t>,000/- per bigha, in as much as there was absolutely no legally acceptable material in support of any such claim.</w:t>
      </w:r>
    </w:p>
    <w:p w:rsidR="000B589F" w:rsidRDefault="003F151A">
      <w:pPr>
        <w:pStyle w:val="Bodytext0"/>
        <w:numPr>
          <w:ilvl w:val="0"/>
          <w:numId w:val="1"/>
        </w:numPr>
        <w:shd w:val="clear" w:color="auto" w:fill="auto"/>
        <w:spacing w:before="0" w:line="322" w:lineRule="exact"/>
        <w:ind w:left="20" w:right="40"/>
        <w:jc w:val="both"/>
      </w:pPr>
      <w:r>
        <w:t xml:space="preserve"> The appeals stand partly allowed by enhancing the compensation from Rs.42,000/- per bigha as determined by the Division Bench of the High Cou</w:t>
      </w:r>
      <w:r>
        <w:t>rt to a sum of Rs.50,000/- per bigha, in respect of both categories of land. With the above modification in the rate of land value, the appeals stand partly allowed. Needless to add that appellants would be entitled for consequential benefits as per the la</w:t>
      </w:r>
      <w:r>
        <w:t>w, if any.</w:t>
      </w:r>
    </w:p>
    <w:sectPr w:rsidR="000B589F" w:rsidSect="000B589F">
      <w:footerReference w:type="default" r:id="rId7"/>
      <w:type w:val="continuous"/>
      <w:pgSz w:w="12240" w:h="15840"/>
      <w:pgMar w:top="1617" w:right="1399" w:bottom="2030" w:left="141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51A" w:rsidRDefault="003F151A" w:rsidP="000B589F">
      <w:r>
        <w:separator/>
      </w:r>
    </w:p>
  </w:endnote>
  <w:endnote w:type="continuationSeparator" w:id="1">
    <w:p w:rsidR="003F151A" w:rsidRDefault="003F151A" w:rsidP="000B5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9F" w:rsidRDefault="000B589F">
    <w:pPr>
      <w:rPr>
        <w:sz w:val="2"/>
        <w:szCs w:val="2"/>
      </w:rPr>
    </w:pPr>
    <w:r w:rsidRPr="000B589F">
      <w:pict>
        <v:shapetype id="_x0000_t202" coordsize="21600,21600" o:spt="202" path="m,l,21600r21600,l21600,xe">
          <v:stroke joinstyle="miter"/>
          <v:path gradientshapeok="t" o:connecttype="rect"/>
        </v:shapetype>
        <v:shape id="_x0000_s1025" type="#_x0000_t202" style="position:absolute;margin-left:71.9pt;margin-top:701pt;width:465.85pt;height:11.05pt;z-index:-251658752;mso-wrap-distance-left:5pt;mso-wrap-distance-right:5pt;mso-position-horizontal-relative:page;mso-position-vertical-relative:page" wrapcoords="0 0" filled="f" stroked="f">
          <v:textbox style="mso-fit-shape-to-text:t" inset="0,0,0,0">
            <w:txbxContent>
              <w:p w:rsidR="000B589F" w:rsidRDefault="003F151A">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3F151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51A" w:rsidRDefault="003F151A"/>
  </w:footnote>
  <w:footnote w:type="continuationSeparator" w:id="1">
    <w:p w:rsidR="003F151A" w:rsidRDefault="003F15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46FA"/>
    <w:multiLevelType w:val="multilevel"/>
    <w:tmpl w:val="54745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B589F"/>
    <w:rsid w:val="000B589F"/>
    <w:rsid w:val="00234225"/>
    <w:rsid w:val="003F15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589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589F"/>
    <w:rPr>
      <w:color w:val="0066CC"/>
      <w:u w:val="single"/>
    </w:rPr>
  </w:style>
  <w:style w:type="character" w:customStyle="1" w:styleId="Bodytext2">
    <w:name w:val="Body text (2)_"/>
    <w:basedOn w:val="DefaultParagraphFont"/>
    <w:link w:val="Bodytext20"/>
    <w:rsid w:val="000B589F"/>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0B589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B589F"/>
    <w:rPr>
      <w:color w:val="000000"/>
      <w:spacing w:val="0"/>
      <w:w w:val="100"/>
      <w:position w:val="0"/>
      <w:lang w:val="en-US" w:eastAsia="en-US" w:bidi="en-US"/>
    </w:rPr>
  </w:style>
  <w:style w:type="character" w:customStyle="1" w:styleId="Bodytext">
    <w:name w:val="Body text_"/>
    <w:basedOn w:val="DefaultParagraphFont"/>
    <w:link w:val="Bodytext0"/>
    <w:rsid w:val="000B589F"/>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0B589F"/>
    <w:rPr>
      <w:b/>
      <w:bCs/>
      <w:color w:val="000000"/>
      <w:spacing w:val="0"/>
      <w:w w:val="100"/>
      <w:position w:val="0"/>
      <w:lang w:val="en-US" w:eastAsia="en-US" w:bidi="en-US"/>
    </w:rPr>
  </w:style>
  <w:style w:type="character" w:customStyle="1" w:styleId="Bodytext21">
    <w:name w:val="Body text (2)"/>
    <w:basedOn w:val="Bodytext2"/>
    <w:rsid w:val="000B589F"/>
    <w:rPr>
      <w:color w:val="000000"/>
      <w:spacing w:val="0"/>
      <w:w w:val="100"/>
      <w:position w:val="0"/>
      <w:u w:val="single"/>
      <w:lang w:val="en-US" w:eastAsia="en-US" w:bidi="en-US"/>
    </w:rPr>
  </w:style>
  <w:style w:type="character" w:customStyle="1" w:styleId="BodytextSmallCaps">
    <w:name w:val="Body text + Small Caps"/>
    <w:basedOn w:val="Bodytext"/>
    <w:rsid w:val="000B589F"/>
    <w:rPr>
      <w:smallCaps/>
      <w:color w:val="000000"/>
      <w:spacing w:val="0"/>
      <w:w w:val="100"/>
      <w:position w:val="0"/>
      <w:lang w:val="en-US" w:eastAsia="en-US" w:bidi="en-US"/>
    </w:rPr>
  </w:style>
  <w:style w:type="paragraph" w:customStyle="1" w:styleId="Bodytext20">
    <w:name w:val="Body text (2)"/>
    <w:basedOn w:val="Normal"/>
    <w:link w:val="Bodytext2"/>
    <w:rsid w:val="000B589F"/>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0B589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B589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2017-06-22T06:52:00Z</dcterms:created>
  <dcterms:modified xsi:type="dcterms:W3CDTF">2017-06-22T06:52:00Z</dcterms:modified>
</cp:coreProperties>
</file>