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63" w:rsidRDefault="001E2035">
      <w:pPr>
        <w:pStyle w:val="Bodytext20"/>
        <w:shd w:val="clear" w:color="auto" w:fill="auto"/>
        <w:spacing w:after="37" w:line="280" w:lineRule="exact"/>
        <w:ind w:left="40"/>
      </w:pPr>
      <w:r>
        <w:t>SUPREME COURT OF INDIA</w:t>
      </w:r>
    </w:p>
    <w:p w:rsidR="00E86B63" w:rsidRDefault="001E2035">
      <w:pPr>
        <w:pStyle w:val="Bodytext0"/>
        <w:shd w:val="clear" w:color="auto" w:fill="auto"/>
        <w:spacing w:before="0"/>
        <w:ind w:left="40"/>
      </w:pPr>
      <w:r>
        <w:t>Nagappan</w:t>
      </w:r>
    </w:p>
    <w:p w:rsidR="00E86B63" w:rsidRDefault="001E2035">
      <w:pPr>
        <w:pStyle w:val="Bodytext0"/>
        <w:shd w:val="clear" w:color="auto" w:fill="auto"/>
        <w:spacing w:before="0"/>
        <w:ind w:left="40"/>
      </w:pPr>
      <w:r>
        <w:t>Vs.</w:t>
      </w:r>
    </w:p>
    <w:p w:rsidR="00E86B63" w:rsidRDefault="001E2035">
      <w:pPr>
        <w:pStyle w:val="Bodytext0"/>
        <w:shd w:val="clear" w:color="auto" w:fill="auto"/>
        <w:spacing w:before="0"/>
        <w:ind w:left="40"/>
      </w:pPr>
      <w:r>
        <w:t>State by Inspector of Police, T.N.</w:t>
      </w:r>
    </w:p>
    <w:p w:rsidR="00C40502" w:rsidRDefault="001E2035">
      <w:pPr>
        <w:pStyle w:val="Bodytext0"/>
        <w:shd w:val="clear" w:color="auto" w:fill="auto"/>
        <w:spacing w:before="0"/>
        <w:ind w:left="40"/>
      </w:pPr>
      <w:r>
        <w:t xml:space="preserve">Crl.A.No.1533 of 2009 </w:t>
      </w:r>
    </w:p>
    <w:p w:rsidR="00E86B63" w:rsidRDefault="001E2035">
      <w:pPr>
        <w:pStyle w:val="Bodytext0"/>
        <w:shd w:val="clear" w:color="auto" w:fill="auto"/>
        <w:spacing w:before="0"/>
        <w:ind w:left="40"/>
      </w:pPr>
      <w:r>
        <w:t>(P.Sathasivam and J.Chelameswar JJ.)</w:t>
      </w:r>
    </w:p>
    <w:p w:rsidR="00E86B63" w:rsidRDefault="001E2035">
      <w:pPr>
        <w:pStyle w:val="Bodytext0"/>
        <w:shd w:val="clear" w:color="auto" w:fill="auto"/>
        <w:spacing w:before="0"/>
        <w:ind w:left="40"/>
      </w:pPr>
      <w:r>
        <w:t>17.07.2013</w:t>
      </w:r>
    </w:p>
    <w:p w:rsidR="00E86B63" w:rsidRDefault="001E2035">
      <w:pPr>
        <w:pStyle w:val="Bodytext20"/>
        <w:shd w:val="clear" w:color="auto" w:fill="auto"/>
        <w:spacing w:after="0" w:line="643" w:lineRule="exact"/>
        <w:ind w:left="40"/>
      </w:pPr>
      <w:r>
        <w:t>JUDGMENT</w:t>
      </w:r>
    </w:p>
    <w:p w:rsidR="00E86B63" w:rsidRDefault="001E2035">
      <w:pPr>
        <w:pStyle w:val="Bodytext20"/>
        <w:shd w:val="clear" w:color="auto" w:fill="auto"/>
        <w:spacing w:after="0" w:line="643" w:lineRule="exact"/>
        <w:ind w:left="20"/>
        <w:jc w:val="both"/>
      </w:pPr>
      <w:r>
        <w:t>P.SATHASIVAM,J.</w:t>
      </w:r>
    </w:p>
    <w:p w:rsidR="00E86B63" w:rsidRDefault="001E2035">
      <w:pPr>
        <w:pStyle w:val="Bodytext0"/>
        <w:numPr>
          <w:ilvl w:val="0"/>
          <w:numId w:val="1"/>
        </w:numPr>
        <w:shd w:val="clear" w:color="auto" w:fill="auto"/>
        <w:spacing w:before="0" w:after="349" w:line="322" w:lineRule="exact"/>
        <w:ind w:left="20" w:right="40"/>
        <w:jc w:val="both"/>
      </w:pPr>
      <w:r>
        <w:t xml:space="preserve"> This appeal has been filed against the judgment and order dated 12.04.2006 passed by the High Court of Judicature at Madras in Criminal Appeal No. 1861 of 2002 whereby the High Court dismissed the appeal filed by the appellants therein and confirmed the o</w:t>
      </w:r>
      <w:r>
        <w:t>rder of conviction and sentence dated 20.12.2002 passed by the Court of Additional District and Sessions Judge-cum-Chief Judicial Magistrate, Cuddalore in Sessions Case No. 230 of 2000.</w:t>
      </w:r>
    </w:p>
    <w:p w:rsidR="00E86B63" w:rsidRDefault="001E2035">
      <w:pPr>
        <w:pStyle w:val="Bodytext0"/>
        <w:numPr>
          <w:ilvl w:val="0"/>
          <w:numId w:val="1"/>
        </w:numPr>
        <w:shd w:val="clear" w:color="auto" w:fill="auto"/>
        <w:spacing w:before="0" w:after="313" w:line="260" w:lineRule="exact"/>
        <w:ind w:left="20"/>
        <w:jc w:val="both"/>
      </w:pPr>
      <w:r>
        <w:t xml:space="preserve"> Brief facts</w:t>
      </w:r>
    </w:p>
    <w:p w:rsidR="00E86B63" w:rsidRDefault="001E2035">
      <w:pPr>
        <w:pStyle w:val="Bodytext0"/>
        <w:numPr>
          <w:ilvl w:val="0"/>
          <w:numId w:val="2"/>
        </w:numPr>
        <w:shd w:val="clear" w:color="auto" w:fill="auto"/>
        <w:spacing w:before="0" w:after="300" w:line="322" w:lineRule="exact"/>
        <w:ind w:left="720" w:right="40"/>
        <w:jc w:val="both"/>
      </w:pPr>
      <w:r>
        <w:t xml:space="preserve"> The case relates to the death of a person by name Pasupathy, resident of Periya Irusampalayam village, committed by Sivaraman (A-1), Mano (A-2), Nagappan (A-3) and Tamil@Tamilvanan (A-4) on account of enmity between the deceased-Pasupathy and Sivaraman (A</w:t>
      </w:r>
      <w:r>
        <w:t>-1). At one point of time, there was a quarrel between Sivaraman (A-1) and one Srinivasan (DW-1) which was pacified by Pasupathy and thereby A-1 had an impression that Pasupathy is in support of Srinivasan (DW-1). Due to this kind of impression, A-1 planne</w:t>
      </w:r>
      <w:r>
        <w:t>d to eliminate Pasupathy.</w:t>
      </w:r>
    </w:p>
    <w:p w:rsidR="00E86B63" w:rsidRDefault="001E2035">
      <w:pPr>
        <w:pStyle w:val="Bodytext0"/>
        <w:numPr>
          <w:ilvl w:val="0"/>
          <w:numId w:val="2"/>
        </w:numPr>
        <w:shd w:val="clear" w:color="auto" w:fill="auto"/>
        <w:spacing w:before="0" w:line="322" w:lineRule="exact"/>
        <w:ind w:left="720" w:right="40"/>
        <w:jc w:val="both"/>
      </w:pPr>
      <w:r>
        <w:t xml:space="preserve"> In order to materialize the same, on 08.05.2000, at 08:30 p.m., A-1 to A- 4, assembled near the road leading to the graveyard of Periya Irusampalayam village with an ulterior motive of killing Pasupathy. At the relevant time, Siv</w:t>
      </w:r>
      <w:r>
        <w:t>araj (PW-1) and Ganapathy (PW-3), who are brothers and</w:t>
      </w:r>
    </w:p>
    <w:p w:rsidR="00E86B63" w:rsidRDefault="001E2035">
      <w:pPr>
        <w:pStyle w:val="Bodytext30"/>
        <w:shd w:val="clear" w:color="auto" w:fill="auto"/>
        <w:tabs>
          <w:tab w:val="left" w:pos="5377"/>
          <w:tab w:val="right" w:pos="9337"/>
        </w:tabs>
        <w:spacing w:line="220" w:lineRule="exact"/>
        <w:ind w:left="20"/>
      </w:pPr>
      <w:r>
        <w:t>Law Information Center</w:t>
      </w:r>
      <w:r>
        <w:tab/>
        <w:t>1</w:t>
      </w:r>
      <w:r>
        <w:tab/>
        <w:t>SpotLaw</w:t>
      </w:r>
    </w:p>
    <w:p w:rsidR="00E86B63" w:rsidRDefault="001E2035">
      <w:pPr>
        <w:pStyle w:val="Bodytext0"/>
        <w:shd w:val="clear" w:color="auto" w:fill="auto"/>
        <w:spacing w:before="0" w:after="300" w:line="322" w:lineRule="exact"/>
        <w:ind w:left="740" w:right="20"/>
        <w:jc w:val="both"/>
      </w:pPr>
      <w:r>
        <w:t xml:space="preserve">relatives of Pasupathy, along with Vijayan, Murugan, Babu and Veerappan were </w:t>
      </w:r>
      <w:r>
        <w:lastRenderedPageBreak/>
        <w:t>having conversation near the electric post on the way to graveyard and Pasupathy was coming</w:t>
      </w:r>
      <w:r>
        <w:t xml:space="preserve"> towards the same direction. On seeing Pasupathy, the accused persons, in order to grab the opportunity of killing him, attacked him using knives, stick and iron pipe. A-1 and A-2 inflicted injuries on the deceased using knives from behind on the head and </w:t>
      </w:r>
      <w:r>
        <w:t>neck respectively. A- 3 attacked Pasupathy with a stick whereas A-4 attacked him using iron pipe over the rear portion of his neck. When PW-1 and others came to rescue Pasupathy, the accused persons ran away from the spot leaving behind the weapons used in</w:t>
      </w:r>
      <w:r>
        <w:t xml:space="preserve"> the incident. Pasupathy was immediately taken to the hospital but he died on the way.</w:t>
      </w:r>
    </w:p>
    <w:p w:rsidR="00E86B63" w:rsidRDefault="001E2035">
      <w:pPr>
        <w:pStyle w:val="Bodytext0"/>
        <w:numPr>
          <w:ilvl w:val="0"/>
          <w:numId w:val="2"/>
        </w:numPr>
        <w:shd w:val="clear" w:color="auto" w:fill="auto"/>
        <w:spacing w:before="0" w:after="300" w:line="322" w:lineRule="exact"/>
        <w:ind w:left="740" w:right="20"/>
        <w:jc w:val="both"/>
      </w:pPr>
      <w:r>
        <w:t xml:space="preserve"> On the very next day, i.e., on 09.05.2000, at 05:00 a.m., PW-1 lodged a complaint at Reddichavadi Police Station which came to be registered as Crime No. 132 of 2000 un</w:t>
      </w:r>
      <w:r>
        <w:t>der Section 302 of the Indian Penal Code, 1860 (in short ‘the IPC’).</w:t>
      </w:r>
    </w:p>
    <w:p w:rsidR="00E86B63" w:rsidRDefault="001E2035">
      <w:pPr>
        <w:pStyle w:val="Bodytext0"/>
        <w:numPr>
          <w:ilvl w:val="0"/>
          <w:numId w:val="2"/>
        </w:numPr>
        <w:shd w:val="clear" w:color="auto" w:fill="auto"/>
        <w:spacing w:before="0" w:after="300" w:line="322" w:lineRule="exact"/>
        <w:ind w:left="740" w:right="20"/>
        <w:jc w:val="both"/>
      </w:pPr>
      <w:r>
        <w:t xml:space="preserve"> After investigation, the case was committed to the Court of Additional District and Sessions Judge-cum-Chief Judicial Magistrate, Cuddalore under Section 302 read with Section 34 of IPC </w:t>
      </w:r>
      <w:r>
        <w:t>which was numbered as Sessions Case No. 230 of 2000. The Additional District and Sessions Judge, by order dated 20.12.2002, convicted A-1 to A-4 for the offence punishable under Section 302 read with Section 34 of IPC and sentenced them to undergo imprison</w:t>
      </w:r>
      <w:r>
        <w:t>ment for life along with a fine of Rs. 4,000/- each, in default, to further undergo rigorous imprisonment (RI) for 1 (one) year. (e) Aggrieved by the said order, A-1 to A-3 preferred Criminal Appeal No. 1861 of 2002 before the High Court. The Division Benc</w:t>
      </w:r>
      <w:r>
        <w:t>h of the High Court, by order dated 12.04.2006, dismissed their appeal by confirming the conviction and sentence imposed by the trial Court.</w:t>
      </w:r>
    </w:p>
    <w:p w:rsidR="00E86B63" w:rsidRDefault="001E2035">
      <w:pPr>
        <w:pStyle w:val="Bodytext0"/>
        <w:shd w:val="clear" w:color="auto" w:fill="auto"/>
        <w:spacing w:before="0" w:after="300" w:line="322" w:lineRule="exact"/>
        <w:ind w:left="740" w:right="20"/>
        <w:jc w:val="both"/>
      </w:pPr>
      <w:r>
        <w:t>(f) Against the said order, Nagappan (the appellant herein and A-3 therein) has filed this appeal by way of special</w:t>
      </w:r>
      <w:r>
        <w:t xml:space="preserve"> leave before this Court.</w:t>
      </w:r>
    </w:p>
    <w:p w:rsidR="00E86B63" w:rsidRDefault="001E2035">
      <w:pPr>
        <w:pStyle w:val="Bodytext0"/>
        <w:numPr>
          <w:ilvl w:val="0"/>
          <w:numId w:val="1"/>
        </w:numPr>
        <w:shd w:val="clear" w:color="auto" w:fill="auto"/>
        <w:spacing w:before="0" w:after="304" w:line="322" w:lineRule="exact"/>
        <w:ind w:left="20" w:right="20"/>
        <w:jc w:val="both"/>
      </w:pPr>
      <w:r>
        <w:t xml:space="preserve"> Heard Mr. K.K. Mani, learned counsel for the appellant-accused and Mr. M. Yogesh Khanna, learned counsel for the respondent-State Contentions:</w:t>
      </w:r>
    </w:p>
    <w:p w:rsidR="00E86B63" w:rsidRDefault="001E2035">
      <w:pPr>
        <w:pStyle w:val="Bodytext0"/>
        <w:numPr>
          <w:ilvl w:val="0"/>
          <w:numId w:val="1"/>
        </w:numPr>
        <w:shd w:val="clear" w:color="auto" w:fill="auto"/>
        <w:tabs>
          <w:tab w:val="left" w:pos="5353"/>
          <w:tab w:val="right" w:pos="9337"/>
        </w:tabs>
        <w:spacing w:before="0" w:after="296" w:line="317" w:lineRule="exact"/>
        <w:ind w:left="20" w:right="20"/>
        <w:jc w:val="both"/>
        <w:sectPr w:rsidR="00E86B63">
          <w:type w:val="continuous"/>
          <w:pgSz w:w="12240" w:h="15840"/>
          <w:pgMar w:top="1210" w:right="1402" w:bottom="1502" w:left="1435" w:header="0" w:footer="3" w:gutter="0"/>
          <w:cols w:space="720"/>
          <w:noEndnote/>
          <w:docGrid w:linePitch="360"/>
        </w:sectPr>
      </w:pPr>
      <w:r>
        <w:t xml:space="preserve"> Mr. K.K. Mani, learned counsel for the appellant, at the foremost, submitted that the conviction solely based on the evidence of Sivaraj (PW- 1) and Ganapathy (PW-3), who are brothers and interested/related eye- witnesses, cannot be sustained in the absen</w:t>
      </w:r>
      <w:r>
        <w:t xml:space="preserve">ce of corroboration from other witnesses. He further </w:t>
      </w:r>
      <w:r>
        <w:rPr>
          <w:rStyle w:val="Bodytext11pt"/>
        </w:rPr>
        <w:t>Law Information Center</w:t>
      </w:r>
      <w:r>
        <w:rPr>
          <w:rStyle w:val="Bodytext11pt"/>
        </w:rPr>
        <w:tab/>
        <w:t>2</w:t>
      </w:r>
      <w:r>
        <w:rPr>
          <w:rStyle w:val="Bodytext11pt"/>
        </w:rPr>
        <w:tab/>
        <w:t xml:space="preserve">SpotLaw </w:t>
      </w:r>
    </w:p>
    <w:p w:rsidR="00E86B63" w:rsidRDefault="001E2035">
      <w:pPr>
        <w:pStyle w:val="Bodytext0"/>
        <w:shd w:val="clear" w:color="auto" w:fill="auto"/>
        <w:tabs>
          <w:tab w:val="left" w:pos="5353"/>
          <w:tab w:val="right" w:pos="9337"/>
        </w:tabs>
        <w:spacing w:before="0" w:after="296" w:line="317" w:lineRule="exact"/>
        <w:ind w:left="20" w:right="20"/>
        <w:jc w:val="both"/>
      </w:pPr>
      <w:r>
        <w:t>submitted that both the courts below failed to notice the fact that the medical evidence did not support the version of the prosecution in respect of the appellant (A-3)</w:t>
      </w:r>
      <w:r>
        <w:t xml:space="preserve"> and in fact contrary to the evidence of PW-1 and PW-3 and, therefore, the conviction and sentence of the appellant is liable to be set aside.</w:t>
      </w:r>
    </w:p>
    <w:p w:rsidR="00E86B63" w:rsidRDefault="001E2035">
      <w:pPr>
        <w:pStyle w:val="Bodytext0"/>
        <w:numPr>
          <w:ilvl w:val="0"/>
          <w:numId w:val="1"/>
        </w:numPr>
        <w:shd w:val="clear" w:color="auto" w:fill="auto"/>
        <w:spacing w:before="0" w:after="300" w:line="322" w:lineRule="exact"/>
        <w:ind w:left="20" w:right="40"/>
        <w:jc w:val="both"/>
      </w:pPr>
      <w:r>
        <w:t xml:space="preserve"> On the other hand, Mr. M. Yogesh Khanna, learned counsel for the State submitted that merely because the eye-wit</w:t>
      </w:r>
      <w:r>
        <w:t>nesses in the case on hand, namely, PW- 1 and PW-3, are brothers/related to the deceased, their evidence cannot be eschewed. According to him, the role of the Court is to scrutinize the evidence carefully. He also pointed out that in addition to the eviden</w:t>
      </w:r>
      <w:r>
        <w:t>ce of said eye</w:t>
      </w:r>
      <w:r>
        <w:softHyphen/>
        <w:t>witnesses, medical evidence through Doctor (PW-10) also supports the prosecution case, and hence, there is no valid ground for interference.</w:t>
      </w:r>
    </w:p>
    <w:p w:rsidR="00E86B63" w:rsidRDefault="001E2035">
      <w:pPr>
        <w:pStyle w:val="Bodytext0"/>
        <w:numPr>
          <w:ilvl w:val="0"/>
          <w:numId w:val="1"/>
        </w:numPr>
        <w:shd w:val="clear" w:color="auto" w:fill="auto"/>
        <w:spacing w:before="0" w:after="349" w:line="322" w:lineRule="exact"/>
        <w:ind w:left="20" w:right="40"/>
        <w:jc w:val="both"/>
      </w:pPr>
      <w:r>
        <w:t xml:space="preserve"> We have carefully considered the rival submissions and perused all the relevant materials.</w:t>
      </w:r>
    </w:p>
    <w:p w:rsidR="00E86B63" w:rsidRDefault="001E2035">
      <w:pPr>
        <w:pStyle w:val="Bodytext0"/>
        <w:shd w:val="clear" w:color="auto" w:fill="auto"/>
        <w:spacing w:before="0" w:after="317" w:line="260" w:lineRule="exact"/>
        <w:ind w:left="20"/>
        <w:jc w:val="both"/>
      </w:pPr>
      <w:r>
        <w:t>Discussi</w:t>
      </w:r>
      <w:r>
        <w:t>on:</w:t>
      </w:r>
    </w:p>
    <w:p w:rsidR="00E86B63" w:rsidRDefault="001E2035">
      <w:pPr>
        <w:pStyle w:val="Bodytext0"/>
        <w:numPr>
          <w:ilvl w:val="0"/>
          <w:numId w:val="1"/>
        </w:numPr>
        <w:shd w:val="clear" w:color="auto" w:fill="auto"/>
        <w:tabs>
          <w:tab w:val="center" w:pos="5406"/>
          <w:tab w:val="right" w:pos="9337"/>
        </w:tabs>
        <w:spacing w:before="0" w:line="317" w:lineRule="exact"/>
        <w:ind w:left="20" w:right="40"/>
        <w:jc w:val="both"/>
      </w:pPr>
      <w:r>
        <w:t xml:space="preserve"> As regards the first contention about the admissibility of the evidence of PW-1 and PW-3 being closely related to each other and the deceased, first of all, there is no bar in considering the evidence of relatives. It is true that in the case on hand,</w:t>
      </w:r>
      <w:r>
        <w:t xml:space="preserve"> other witnesses turned hostile and not supported the case of the prosecution. The prosecution heavily relied on the evidence of PW-1, PW-3 and PW-10. The trial Court and the High Court, in view of their relationship, closely analysed their statements and </w:t>
      </w:r>
      <w:r>
        <w:t xml:space="preserve">ultimately found that their evidence is clear, cogent and without considerable contradiction as claimed by their counsel. This Court, in series of decisions, has held that where the evidence of “interested witnesses” is consistent and duly corroborated by </w:t>
      </w:r>
      <w:r>
        <w:t>medical evidence, it is not possible to discard the same merely on the ground that they were interested witnesses. In other words, relationship is not a factor to affect credibility of a witness. [ vide Dalip Singh &amp; Ors. vs. State of Punjab, AIR 1953 SC 3</w:t>
      </w:r>
      <w:r>
        <w:t>64, Guli Chand &amp; Ors. vs. State of Rajasthan, (1974) 3 SCC 698, Vadivelu Thevar vs. The State of Madras, AIR 1957 SC 614, Masalti &amp; Ors. vs. The State of U.P., AIR 1965 SC 202, The State of Punjab vs. Jagir Singh &amp; Ors. (1974) 3 SCC 277 = AIR 1973 SC 2407,</w:t>
      </w:r>
      <w:r>
        <w:t xml:space="preserve"> Lehna vs. State of Haryana, (2002) 3 SCC 76, Sucha Singh &amp; Anr. vs. State of Punjab, (2003) 7 SCC 643 = 2003(6) JT SC 348, Israr vs. State of U.P., (2005) 9 SCC 616, S. Sudershan Reddy &amp; Ors. vs. State of A.P., (2006) 10 SCC 163 = AIR 2006 SC 2716 and Abd</w:t>
      </w:r>
      <w:r>
        <w:t xml:space="preserve">ul Rashid Abdul Rahiman Patel &amp; Ors. vs. State of Maharashtra JT 2007 (9) SC 194, Waman and Others vs. State of Maharashtra, (2011) 7 SCC 295, State of Haryana vs. Shakuntla and Others, (2012) 5 SCC 171, </w:t>
      </w:r>
      <w:r>
        <w:rPr>
          <w:rStyle w:val="Bodytext11pt"/>
        </w:rPr>
        <w:t>Law Information Center</w:t>
      </w:r>
      <w:r>
        <w:rPr>
          <w:rStyle w:val="Bodytext11pt"/>
        </w:rPr>
        <w:tab/>
        <w:t>3</w:t>
      </w:r>
      <w:r>
        <w:rPr>
          <w:rStyle w:val="Bodytext11pt"/>
        </w:rPr>
        <w:tab/>
        <w:t>SpotLaw</w:t>
      </w:r>
    </w:p>
    <w:p w:rsidR="00E86B63" w:rsidRDefault="001E2035">
      <w:pPr>
        <w:pStyle w:val="Bodytext0"/>
        <w:shd w:val="clear" w:color="auto" w:fill="auto"/>
        <w:spacing w:before="0" w:after="300" w:line="322" w:lineRule="exact"/>
        <w:ind w:left="20" w:right="40"/>
        <w:jc w:val="both"/>
      </w:pPr>
      <w:r>
        <w:t>Raju @ Balachandran</w:t>
      </w:r>
      <w:r>
        <w:t xml:space="preserve"> &amp; Ors. vs. State of Tamil Nadu, 2012 (11) Scale 357, Subal Ghorai &amp; Ors. vs. State of West Bengal,(2013) 4 SCC 607].</w:t>
      </w:r>
    </w:p>
    <w:p w:rsidR="00E86B63" w:rsidRDefault="001E2035">
      <w:pPr>
        <w:pStyle w:val="Bodytext0"/>
        <w:numPr>
          <w:ilvl w:val="0"/>
          <w:numId w:val="1"/>
        </w:numPr>
        <w:shd w:val="clear" w:color="auto" w:fill="auto"/>
        <w:spacing w:before="0" w:after="300" w:line="322" w:lineRule="exact"/>
        <w:ind w:left="20" w:right="40"/>
        <w:jc w:val="both"/>
      </w:pPr>
      <w:r>
        <w:t xml:space="preserve"> In the light of the above principles, let us consider the acceptability or otherwise of the evidence of Sivaraj (PW-1) and Ganapathy (PW-</w:t>
      </w:r>
      <w:r>
        <w:t xml:space="preserve">3). In view of the stand taken by the appellant, we have analysed the evidence of PWs 1 &amp; 3. As rightly observed by the courts below, their evidence is clear, cogent and without much contradiction. In categorical terms, PWs 1 &amp; 3 asserted before the Court </w:t>
      </w:r>
      <w:r>
        <w:t>that Sivaraman (A-1) and Mano (A- 2) caused cut injuries to Pasupathy (deceased) using knives (M.Os 9 &amp; 10) and Nagappan - the appellant herein (A-3), attacked the deceased with a stick and caused extensive injuries upon the head, neck and other places res</w:t>
      </w:r>
      <w:r>
        <w:t>ulting into his death on the way to hospital. No doubt, they mentioned that the appellant (A-3) attacked Pasupathy with a stick, however, our analysis shows that the evidence of PW-1 and PW-3 clearly implicated A-1 and A- 2 and the courts below have rightl</w:t>
      </w:r>
      <w:r>
        <w:t>y accepted the case of the prosecution. Insofar as the role of the appellant (A-3) is concerned, even according to the eye witnesses, viz., PWs 1 &amp; 3, he attacked the deceased with a stick. There is no specific assertion about the exact blow on the head by</w:t>
      </w:r>
      <w:r>
        <w:t xml:space="preserve"> use of stick by the appellant (A-3). They merely stated that A-3 used the stick and hit on the back. There is not even a whisper that the stick used by the appellant (A-3) hit on the neck or head of the deceased. We are satisfied that the evidence of PW-1</w:t>
      </w:r>
      <w:r>
        <w:t xml:space="preserve"> and PW-3 are not sufficient to convict the appellant (A-3) under Section 302.</w:t>
      </w:r>
    </w:p>
    <w:p w:rsidR="00E86B63" w:rsidRDefault="001E2035">
      <w:pPr>
        <w:pStyle w:val="Bodytext0"/>
        <w:numPr>
          <w:ilvl w:val="0"/>
          <w:numId w:val="1"/>
        </w:numPr>
        <w:shd w:val="clear" w:color="auto" w:fill="auto"/>
        <w:spacing w:before="0" w:after="349" w:line="322" w:lineRule="exact"/>
        <w:ind w:left="20" w:right="40"/>
        <w:jc w:val="both"/>
      </w:pPr>
      <w:r>
        <w:t xml:space="preserve"> Now let us consider the medical evidence. Doctor (PW-10), who conducted the post mortem on the dead body, in his evidence, has stated that he conducted the post mortem at 12.30</w:t>
      </w:r>
      <w:r>
        <w:t xml:space="preserve"> p.m. on 09.05.2000 and found the following injuries on the dead body:</w:t>
      </w:r>
    </w:p>
    <w:p w:rsidR="00E86B63" w:rsidRDefault="001E2035">
      <w:pPr>
        <w:pStyle w:val="Bodytext0"/>
        <w:shd w:val="clear" w:color="auto" w:fill="auto"/>
        <w:spacing w:before="0" w:after="313" w:line="260" w:lineRule="exact"/>
        <w:ind w:left="740"/>
        <w:jc w:val="both"/>
      </w:pPr>
      <w:r>
        <w:t>“1. Bluish discolouration and swelling present over right upper eye lid.</w:t>
      </w:r>
    </w:p>
    <w:p w:rsidR="00E86B63" w:rsidRDefault="001E2035">
      <w:pPr>
        <w:pStyle w:val="Bodytext0"/>
        <w:numPr>
          <w:ilvl w:val="0"/>
          <w:numId w:val="3"/>
        </w:numPr>
        <w:shd w:val="clear" w:color="auto" w:fill="auto"/>
        <w:spacing w:before="0" w:after="300" w:line="322" w:lineRule="exact"/>
        <w:ind w:left="740" w:right="40"/>
        <w:jc w:val="both"/>
      </w:pPr>
      <w:r>
        <w:t xml:space="preserve"> Lacerated injury of 4 cm x 1 cm bone deep present over left Parietal region of head with fracture of underlying</w:t>
      </w:r>
      <w:r>
        <w:t xml:space="preserve"> bone.</w:t>
      </w:r>
    </w:p>
    <w:p w:rsidR="00E86B63" w:rsidRDefault="001E2035">
      <w:pPr>
        <w:pStyle w:val="Bodytext0"/>
        <w:numPr>
          <w:ilvl w:val="0"/>
          <w:numId w:val="3"/>
        </w:numPr>
        <w:shd w:val="clear" w:color="auto" w:fill="auto"/>
        <w:spacing w:before="0" w:after="300" w:line="322" w:lineRule="exact"/>
        <w:ind w:left="740" w:right="40"/>
        <w:jc w:val="both"/>
      </w:pPr>
      <w:r>
        <w:t xml:space="preserve"> Lacerated injury of 5 cm x 1 cm bone deep over left occipital region of head.</w:t>
      </w:r>
    </w:p>
    <w:p w:rsidR="00E86B63" w:rsidRDefault="001E2035">
      <w:pPr>
        <w:pStyle w:val="Bodytext0"/>
        <w:numPr>
          <w:ilvl w:val="0"/>
          <w:numId w:val="3"/>
        </w:numPr>
        <w:shd w:val="clear" w:color="auto" w:fill="auto"/>
        <w:spacing w:before="0" w:line="322" w:lineRule="exact"/>
        <w:ind w:left="740" w:right="40"/>
        <w:jc w:val="both"/>
      </w:pPr>
      <w:r>
        <w:t xml:space="preserve"> Lacerated injury of 4cm x 1 cm bone deep present over left occipital region of head.</w:t>
      </w:r>
    </w:p>
    <w:p w:rsidR="00E86B63" w:rsidRDefault="001E2035">
      <w:pPr>
        <w:pStyle w:val="Bodytext0"/>
        <w:numPr>
          <w:ilvl w:val="0"/>
          <w:numId w:val="3"/>
        </w:numPr>
        <w:shd w:val="clear" w:color="auto" w:fill="auto"/>
        <w:tabs>
          <w:tab w:val="left" w:pos="1086"/>
        </w:tabs>
        <w:spacing w:before="0" w:after="300" w:line="322" w:lineRule="exact"/>
        <w:ind w:left="740" w:right="40"/>
        <w:jc w:val="both"/>
      </w:pPr>
      <w:r>
        <w:t xml:space="preserve">Obliquely placed incised wound 10 x 1.5 bone deep with fracture of underlying bone </w:t>
      </w:r>
      <w:r>
        <w:t>present over back of neck behind left ear.”</w:t>
      </w:r>
    </w:p>
    <w:p w:rsidR="00E86B63" w:rsidRDefault="001E2035">
      <w:pPr>
        <w:pStyle w:val="Bodytext0"/>
        <w:shd w:val="clear" w:color="auto" w:fill="auto"/>
        <w:spacing w:before="0" w:after="300" w:line="322" w:lineRule="exact"/>
        <w:ind w:left="740" w:right="40"/>
        <w:jc w:val="both"/>
      </w:pPr>
      <w:r>
        <w:t>PW-10 further stated that the deceased appeared to have died of the wounds on the head 6 to 24 hours before the post mortem. In other words, he asserted that the deceased died due to head injuries. He explained t</w:t>
      </w:r>
      <w:r>
        <w:t xml:space="preserve">hat the deceased had 4 injuries on the head and one swelling injury over the right eye. He further explained that out of 4 injuries on the head, two were on the rear left side, one injury was found on the rear of the head and one injury was found near the </w:t>
      </w:r>
      <w:r>
        <w:t xml:space="preserve">left ear. According to him, injury Nos. 2 to 5 were at bone depth. He also stated that the 5th injury was cut injury. Injury Nos. 2 to 4 were lacerated injuries. Exh. P-10 is the post mortem certificate issued by him. Admittedly, the stick alleged to have </w:t>
      </w:r>
      <w:r>
        <w:t>been used by the appellant (A-3) was not shown to the Doctor (PW-10). In his cross examination, he admitted that he did not remember that the police had enquired by showing the weapons to him. He also stated that Injury Nos. 1-4 may be possible by attack w</w:t>
      </w:r>
      <w:r>
        <w:t>ith iron pipe. He also admitted that there was no injury on the back of the deceased person. He concluded that there was no other injury other than what he had stated in the examination- in-chief as well as noted in the post mortem certificate (Ex.P-10).</w:t>
      </w:r>
    </w:p>
    <w:p w:rsidR="00E86B63" w:rsidRDefault="001E2035">
      <w:pPr>
        <w:pStyle w:val="Bodytext0"/>
        <w:numPr>
          <w:ilvl w:val="0"/>
          <w:numId w:val="1"/>
        </w:numPr>
        <w:shd w:val="clear" w:color="auto" w:fill="auto"/>
        <w:tabs>
          <w:tab w:val="left" w:pos="505"/>
        </w:tabs>
        <w:spacing w:before="0" w:line="322" w:lineRule="exact"/>
        <w:ind w:left="20" w:right="40"/>
        <w:jc w:val="both"/>
      </w:pPr>
      <w:r>
        <w:t>I</w:t>
      </w:r>
      <w:r>
        <w:t>n the earlier paragraph of our discussion, we mentioned the minimal role alleged to have been played by the appellant (A-3). Even PWs 1 &amp; 3 have not specifically stated, namely, whether the stick used by the appellant (A-3) struck on the head or neck. In t</w:t>
      </w:r>
      <w:r>
        <w:t xml:space="preserve">he post mortem report as well as in the evidence of the Doctor (PW-10), absolutely, there is no reference of any injury on the back of the deceased person. Considering the fact that even as per the prosecution case, A-1 and A-2 were armed with knives, A-4 </w:t>
      </w:r>
      <w:r>
        <w:t>was armed with iron rod and A-3 was holding only stick, in the absence of specific assertion by PWs 1 &amp; 3 about the specific role of the appellant (A-3) and no medical evidence from the Doctor in the post mortem certificate, we are of the view that the con</w:t>
      </w:r>
      <w:r>
        <w:t>viction and the ultimate sentence in respect of the appellant (A-3) cannot be sustained. We are satisfied that both the courts below failed to take note of the fact that the medical evidence has not supported the version of the prosecution in respect of th</w:t>
      </w:r>
      <w:r>
        <w:t>e appellant (A-3) and in fact contrary to the evidence of PWs 1 &amp; 3, therefore, the conviction and sentence of the appellant is liable to be set aside. The conclusion of the High Court that the appellant along with others attacked the deceased with intenti</w:t>
      </w:r>
      <w:r>
        <w:t>on to cause injuries is without any basis and not supported by acceptable evidence. Therefore, the conviction under Section 302 read with Section 34 IPC insofar as the appellant is concerned is liable to be set aside.</w:t>
      </w:r>
    </w:p>
    <w:p w:rsidR="00E86B63" w:rsidRDefault="001E2035">
      <w:pPr>
        <w:pStyle w:val="Bodytext30"/>
        <w:shd w:val="clear" w:color="auto" w:fill="auto"/>
        <w:tabs>
          <w:tab w:val="left" w:pos="5362"/>
          <w:tab w:val="right" w:pos="9337"/>
        </w:tabs>
        <w:spacing w:line="220" w:lineRule="exact"/>
        <w:ind w:left="20"/>
      </w:pPr>
      <w:r>
        <w:t>Law Information Center</w:t>
      </w:r>
      <w:r>
        <w:tab/>
        <w:t>5</w:t>
      </w:r>
      <w:r>
        <w:tab/>
        <w:t>SpotLaw</w:t>
      </w:r>
    </w:p>
    <w:p w:rsidR="00E86B63" w:rsidRDefault="001E2035">
      <w:pPr>
        <w:pStyle w:val="Bodytext0"/>
        <w:numPr>
          <w:ilvl w:val="0"/>
          <w:numId w:val="1"/>
        </w:numPr>
        <w:shd w:val="clear" w:color="auto" w:fill="auto"/>
        <w:tabs>
          <w:tab w:val="left" w:pos="519"/>
        </w:tabs>
        <w:spacing w:before="0" w:line="322" w:lineRule="exact"/>
        <w:ind w:left="20"/>
        <w:jc w:val="both"/>
      </w:pPr>
      <w:r>
        <w:t>In th</w:t>
      </w:r>
      <w:r>
        <w:t>e light of the above discussion, the conviction and sentence of the appellant under Section 302 read with Section 34 IPC is set aside. The appeal is allowed. The appellant is directed to be released forthwith, if not required in any other case.</w:t>
      </w:r>
    </w:p>
    <w:sectPr w:rsidR="00E86B63" w:rsidSect="00E86B63">
      <w:footerReference w:type="even" r:id="rId7"/>
      <w:pgSz w:w="12240" w:h="15840"/>
      <w:pgMar w:top="1210" w:right="1402" w:bottom="1502"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035" w:rsidRDefault="001E2035" w:rsidP="00E86B63">
      <w:r>
        <w:separator/>
      </w:r>
    </w:p>
  </w:endnote>
  <w:endnote w:type="continuationSeparator" w:id="1">
    <w:p w:rsidR="001E2035" w:rsidRDefault="001E2035" w:rsidP="00E86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63" w:rsidRDefault="00E86B63">
    <w:pPr>
      <w:rPr>
        <w:sz w:val="2"/>
        <w:szCs w:val="2"/>
      </w:rPr>
    </w:pPr>
    <w:r w:rsidRPr="00E86B63">
      <w:pict>
        <v:shapetype id="_x0000_t202" coordsize="21600,21600" o:spt="202" path="m,l,21600r21600,l21600,xe">
          <v:stroke joinstyle="miter"/>
          <v:path gradientshapeok="t" o:connecttype="rect"/>
        </v:shapetype>
        <v:shape id="_x0000_s1025" type="#_x0000_t202" style="position:absolute;margin-left:73.15pt;margin-top:721.45pt;width:464.9pt;height:11.05pt;z-index:-251658752;mso-wrap-distance-left:5pt;mso-wrap-distance-right:5pt;mso-position-horizontal-relative:page;mso-position-vertical-relative:page" wrapcoords="0 0" filled="f" stroked="f">
          <v:textbox style="mso-fit-shape-to-text:t" inset="0,0,0,0">
            <w:txbxContent>
              <w:p w:rsidR="00E86B63" w:rsidRDefault="001E2035">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00C40502" w:rsidRPr="00C40502">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035" w:rsidRDefault="001E2035"/>
  </w:footnote>
  <w:footnote w:type="continuationSeparator" w:id="1">
    <w:p w:rsidR="001E2035" w:rsidRDefault="001E203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30AD"/>
    <w:multiLevelType w:val="multilevel"/>
    <w:tmpl w:val="41E44A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CD1B18"/>
    <w:multiLevelType w:val="multilevel"/>
    <w:tmpl w:val="57A246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9F47F0"/>
    <w:multiLevelType w:val="multilevel"/>
    <w:tmpl w:val="28FA5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86B63"/>
    <w:rsid w:val="001E2035"/>
    <w:rsid w:val="00C40502"/>
    <w:rsid w:val="00E86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6B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6B63"/>
    <w:rPr>
      <w:color w:val="0066CC"/>
      <w:u w:val="single"/>
    </w:rPr>
  </w:style>
  <w:style w:type="character" w:customStyle="1" w:styleId="Bodytext2">
    <w:name w:val="Body text (2)_"/>
    <w:basedOn w:val="DefaultParagraphFont"/>
    <w:link w:val="Bodytext20"/>
    <w:rsid w:val="00E86B6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86B63"/>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E86B63"/>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E86B63"/>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E86B6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86B63"/>
    <w:rPr>
      <w:color w:val="000000"/>
      <w:spacing w:val="0"/>
      <w:w w:val="100"/>
      <w:position w:val="0"/>
      <w:lang w:val="en-US" w:eastAsia="en-US" w:bidi="en-US"/>
    </w:rPr>
  </w:style>
  <w:style w:type="paragraph" w:customStyle="1" w:styleId="Bodytext20">
    <w:name w:val="Body text (2)"/>
    <w:basedOn w:val="Normal"/>
    <w:link w:val="Bodytext2"/>
    <w:rsid w:val="00E86B6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86B6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86B63"/>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86B63"/>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10247</Characters>
  <Application>Microsoft Office Word</Application>
  <DocSecurity>0</DocSecurity>
  <Lines>85</Lines>
  <Paragraphs>24</Paragraphs>
  <ScaleCrop>false</ScaleCrop>
  <Company/>
  <LinksUpToDate>false</LinksUpToDate>
  <CharactersWithSpaces>12020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2017-06-06T12:18:00Z</dcterms:created>
  <dcterms:modified xsi:type="dcterms:W3CDTF">2017-06-06T12:18:00Z</dcterms:modified>
</cp:coreProperties>
</file>