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434" w:rsidRDefault="007E44CC" w:rsidP="00F15A3C">
      <w:pPr>
        <w:pStyle w:val="Bodytext20"/>
        <w:shd w:val="clear" w:color="auto" w:fill="auto"/>
        <w:spacing w:after="0" w:line="240" w:lineRule="auto"/>
        <w:ind w:left="14"/>
      </w:pPr>
      <w:r>
        <w:t>SUPREME COURT OF INDIA</w:t>
      </w:r>
    </w:p>
    <w:p w:rsidR="00F15A3C" w:rsidRDefault="00F15A3C" w:rsidP="00F15A3C">
      <w:pPr>
        <w:pStyle w:val="Bodytext20"/>
        <w:shd w:val="clear" w:color="auto" w:fill="auto"/>
        <w:spacing w:after="0" w:line="240" w:lineRule="auto"/>
        <w:ind w:left="14"/>
      </w:pPr>
    </w:p>
    <w:p w:rsidR="00F15A3C" w:rsidRDefault="007E44CC" w:rsidP="00F15A3C">
      <w:pPr>
        <w:pStyle w:val="Bodytext0"/>
        <w:shd w:val="clear" w:color="auto" w:fill="auto"/>
        <w:spacing w:before="0" w:line="240" w:lineRule="auto"/>
        <w:ind w:left="14"/>
      </w:pPr>
      <w:r>
        <w:t xml:space="preserve">Union of India </w:t>
      </w:r>
    </w:p>
    <w:p w:rsidR="00F15A3C" w:rsidRDefault="00F15A3C" w:rsidP="00F15A3C">
      <w:pPr>
        <w:pStyle w:val="Bodytext0"/>
        <w:shd w:val="clear" w:color="auto" w:fill="auto"/>
        <w:spacing w:before="0" w:line="240" w:lineRule="auto"/>
        <w:ind w:left="14"/>
      </w:pPr>
    </w:p>
    <w:p w:rsidR="00927434" w:rsidRDefault="007E44CC" w:rsidP="00F15A3C">
      <w:pPr>
        <w:pStyle w:val="Bodytext0"/>
        <w:shd w:val="clear" w:color="auto" w:fill="auto"/>
        <w:spacing w:before="0" w:line="240" w:lineRule="auto"/>
        <w:ind w:left="14"/>
      </w:pPr>
      <w:r>
        <w:t>Vs.</w:t>
      </w:r>
    </w:p>
    <w:p w:rsidR="00F15A3C" w:rsidRDefault="00F15A3C" w:rsidP="00F15A3C">
      <w:pPr>
        <w:pStyle w:val="Bodytext0"/>
        <w:shd w:val="clear" w:color="auto" w:fill="auto"/>
        <w:spacing w:before="0" w:line="240" w:lineRule="auto"/>
        <w:ind w:left="14"/>
      </w:pPr>
    </w:p>
    <w:p w:rsidR="00F15A3C" w:rsidRDefault="007E44CC" w:rsidP="00F15A3C">
      <w:pPr>
        <w:pStyle w:val="Bodytext0"/>
        <w:shd w:val="clear" w:color="auto" w:fill="auto"/>
        <w:spacing w:before="0" w:line="240" w:lineRule="auto"/>
        <w:ind w:left="14"/>
      </w:pPr>
      <w:r>
        <w:t xml:space="preserve">Shri Bhanwar Lal Mundan </w:t>
      </w:r>
    </w:p>
    <w:p w:rsidR="00F15A3C" w:rsidRDefault="00F15A3C" w:rsidP="00F15A3C">
      <w:pPr>
        <w:pStyle w:val="Bodytext0"/>
        <w:shd w:val="clear" w:color="auto" w:fill="auto"/>
        <w:spacing w:before="0" w:line="240" w:lineRule="auto"/>
        <w:ind w:left="14"/>
      </w:pPr>
    </w:p>
    <w:p w:rsidR="00F15A3C" w:rsidRDefault="007E44CC" w:rsidP="00F15A3C">
      <w:pPr>
        <w:pStyle w:val="Bodytext0"/>
        <w:shd w:val="clear" w:color="auto" w:fill="auto"/>
        <w:spacing w:before="0" w:line="240" w:lineRule="auto"/>
        <w:ind w:left="14"/>
      </w:pPr>
      <w:r>
        <w:t xml:space="preserve">C.A.No.7292 of 2013 </w:t>
      </w:r>
    </w:p>
    <w:p w:rsidR="00F15A3C" w:rsidRDefault="00F15A3C" w:rsidP="00F15A3C">
      <w:pPr>
        <w:pStyle w:val="Bodytext0"/>
        <w:shd w:val="clear" w:color="auto" w:fill="auto"/>
        <w:spacing w:before="0" w:line="240" w:lineRule="auto"/>
        <w:ind w:left="14"/>
      </w:pPr>
    </w:p>
    <w:p w:rsidR="00927434" w:rsidRDefault="007E44CC" w:rsidP="00F15A3C">
      <w:pPr>
        <w:pStyle w:val="Bodytext0"/>
        <w:shd w:val="clear" w:color="auto" w:fill="auto"/>
        <w:spacing w:before="0" w:line="240" w:lineRule="auto"/>
        <w:ind w:left="14"/>
      </w:pPr>
      <w:r>
        <w:t>(Anil R.Dave and Dipak Misra JJ.)</w:t>
      </w:r>
    </w:p>
    <w:p w:rsidR="00F15A3C" w:rsidRDefault="00F15A3C" w:rsidP="00F15A3C">
      <w:pPr>
        <w:pStyle w:val="Bodytext0"/>
        <w:shd w:val="clear" w:color="auto" w:fill="auto"/>
        <w:spacing w:before="0" w:line="240" w:lineRule="auto"/>
        <w:ind w:left="14"/>
      </w:pPr>
    </w:p>
    <w:p w:rsidR="00927434" w:rsidRDefault="007E44CC" w:rsidP="00F15A3C">
      <w:pPr>
        <w:pStyle w:val="Bodytext0"/>
        <w:shd w:val="clear" w:color="auto" w:fill="auto"/>
        <w:spacing w:before="0" w:line="240" w:lineRule="auto"/>
        <w:ind w:left="14"/>
      </w:pPr>
      <w:r>
        <w:t>27.08.2013</w:t>
      </w:r>
    </w:p>
    <w:p w:rsidR="00F15A3C" w:rsidRDefault="00F15A3C" w:rsidP="00F15A3C">
      <w:pPr>
        <w:pStyle w:val="Bodytext0"/>
        <w:shd w:val="clear" w:color="auto" w:fill="auto"/>
        <w:spacing w:before="0" w:line="240" w:lineRule="auto"/>
        <w:ind w:left="14"/>
      </w:pPr>
    </w:p>
    <w:p w:rsidR="00927434" w:rsidRDefault="007E44CC" w:rsidP="00F15A3C">
      <w:pPr>
        <w:pStyle w:val="Bodytext20"/>
        <w:shd w:val="clear" w:color="auto" w:fill="auto"/>
        <w:spacing w:after="0" w:line="240" w:lineRule="auto"/>
        <w:ind w:left="14"/>
      </w:pPr>
      <w:r>
        <w:t>JUDGMENT</w:t>
      </w:r>
    </w:p>
    <w:p w:rsidR="00F15A3C" w:rsidRDefault="00F15A3C" w:rsidP="00F15A3C">
      <w:pPr>
        <w:pStyle w:val="Bodytext20"/>
        <w:shd w:val="clear" w:color="auto" w:fill="auto"/>
        <w:spacing w:after="0" w:line="240" w:lineRule="auto"/>
        <w:ind w:left="14"/>
      </w:pPr>
    </w:p>
    <w:p w:rsidR="00927434" w:rsidRDefault="00F15A3C" w:rsidP="00F15A3C">
      <w:pPr>
        <w:pStyle w:val="Bodytext20"/>
        <w:shd w:val="clear" w:color="auto" w:fill="auto"/>
        <w:spacing w:after="0" w:line="240" w:lineRule="auto"/>
        <w:ind w:left="14"/>
        <w:jc w:val="both"/>
      </w:pPr>
      <w:r>
        <w:t>Dipak Misra, J.</w:t>
      </w:r>
    </w:p>
    <w:p w:rsidR="00927434" w:rsidRDefault="007E44CC">
      <w:pPr>
        <w:pStyle w:val="Bodytext0"/>
        <w:numPr>
          <w:ilvl w:val="0"/>
          <w:numId w:val="1"/>
        </w:numPr>
        <w:shd w:val="clear" w:color="auto" w:fill="auto"/>
        <w:spacing w:before="0"/>
        <w:ind w:left="20"/>
        <w:jc w:val="both"/>
      </w:pPr>
      <w:r>
        <w:t xml:space="preserve"> Leave granted,</w:t>
      </w:r>
    </w:p>
    <w:p w:rsidR="00927434" w:rsidRDefault="007E44CC">
      <w:pPr>
        <w:pStyle w:val="Bodytext0"/>
        <w:numPr>
          <w:ilvl w:val="0"/>
          <w:numId w:val="1"/>
        </w:numPr>
        <w:shd w:val="clear" w:color="auto" w:fill="auto"/>
        <w:spacing w:before="0" w:after="300" w:line="317" w:lineRule="exact"/>
        <w:ind w:left="20" w:right="40"/>
        <w:jc w:val="both"/>
      </w:pPr>
      <w:r>
        <w:t xml:space="preserve"> This appeal by special leave is directed against the judgment and order dated 9.5.2011 passed by the High Court of Judicature of Rajasthan at Jodhpur in D.B. Civil Writ Petition No. 11838 of 2010 whereby the Division Bench has concurred with the view expr</w:t>
      </w:r>
      <w:r>
        <w:t>essed by the Central Administrative Tribunal, Jodhpur Bench at Jodhpur (for short “the tribunal”) in O.A. No. 109 of 2008 wherein the tribunal had quashed the order passed by the competent authority re-fixing his pay prior to his retirement and directing r</w:t>
      </w:r>
      <w:r>
        <w:t>ecovery of the amount paid from 3.12.1994 to 31.12.2007.</w:t>
      </w:r>
    </w:p>
    <w:p w:rsidR="00927434" w:rsidRDefault="007E44CC">
      <w:pPr>
        <w:pStyle w:val="Bodytext0"/>
        <w:numPr>
          <w:ilvl w:val="0"/>
          <w:numId w:val="1"/>
        </w:numPr>
        <w:shd w:val="clear" w:color="auto" w:fill="auto"/>
        <w:tabs>
          <w:tab w:val="center" w:pos="5650"/>
          <w:tab w:val="right" w:pos="9337"/>
        </w:tabs>
        <w:spacing w:before="0" w:after="296" w:line="317" w:lineRule="exact"/>
        <w:ind w:left="20" w:right="40"/>
        <w:jc w:val="both"/>
      </w:pPr>
      <w:r>
        <w:t xml:space="preserve"> The undisputed facts are that the respondent was appointed as a Gangman on JU Division on 15.1.1966 as a substitute and was regularized in the year 1972. He was promoted to the post of Store Keeper </w:t>
      </w:r>
      <w:r>
        <w:t>in October, 1977 and thereafter, he went on deputation to Construction Organization in December, 1977. He was given the post of PW Mistry in the Construction Organization with effect from 10.4.1981 in the pay scale of Rs.380-560. On completion of the train</w:t>
      </w:r>
      <w:r>
        <w:t>ing he came in the grade of Rs.1400-2300 by the Construction Wing of the railways. Subsequently, when there was a regular selection for the post of JE-I in his parent department, he was called to participate in the selection which he did and being declared</w:t>
      </w:r>
      <w:r>
        <w:t xml:space="preserve"> successful, he joined in the said promotional post on 3.12.1994. While giving him posting in the year 1994, his pay was fixed keeping in view the benefit he had availed while he was </w:t>
      </w:r>
      <w:r>
        <w:rPr>
          <w:rStyle w:val="Bodytext11pt"/>
        </w:rPr>
        <w:t>Law Information Center</w:t>
      </w:r>
      <w:r>
        <w:rPr>
          <w:rStyle w:val="Bodytext11pt"/>
        </w:rPr>
        <w:tab/>
        <w:t>1</w:t>
      </w:r>
      <w:r>
        <w:rPr>
          <w:rStyle w:val="Bodytext11pt"/>
        </w:rPr>
        <w:tab/>
        <w:t xml:space="preserve">SpotLaw </w:t>
      </w:r>
      <w:r>
        <w:t>working in the Construction Organization</w:t>
      </w:r>
      <w:r>
        <w:t xml:space="preserve">. When the date of superannuation approached and pension was going to be determined, it was noticed by the accounts department that he had been given excess pay due to erroneous fixation of pay scale and, accordingly, a </w:t>
      </w:r>
      <w:r>
        <w:lastRenderedPageBreak/>
        <w:t>communication was sent on 22.10.2007</w:t>
      </w:r>
      <w:r>
        <w:t xml:space="preserve"> refixing his pay and directing recovery of the excess sum.</w:t>
      </w:r>
    </w:p>
    <w:p w:rsidR="00927434" w:rsidRDefault="007E44CC">
      <w:pPr>
        <w:pStyle w:val="Bodytext0"/>
        <w:numPr>
          <w:ilvl w:val="0"/>
          <w:numId w:val="1"/>
        </w:numPr>
        <w:shd w:val="clear" w:color="auto" w:fill="auto"/>
        <w:spacing w:before="0" w:after="300" w:line="322" w:lineRule="exact"/>
        <w:ind w:left="20" w:right="40"/>
        <w:jc w:val="both"/>
      </w:pPr>
      <w:r>
        <w:t xml:space="preserve"> Being dissatisfied with the said action, the respondent approached the tribunal which, placing reliance on the authorities in Inder Pal Yadav and others v. Union of India and others[1], Badri Prasad and others v. Union of India and others[2] and Sayed Abd</w:t>
      </w:r>
      <w:r>
        <w:t>ul Qadir and others v. State of Bihar and others[3], quashed the order of refixation and directed the benefit of pension be extended to him on the basis of pay he was actually drawing before the retirement within three months failing which the employer wou</w:t>
      </w:r>
      <w:r>
        <w:t>ld be liable to pay interest at the rate of 15% per annum.</w:t>
      </w:r>
    </w:p>
    <w:p w:rsidR="00927434" w:rsidRDefault="007E44CC">
      <w:pPr>
        <w:pStyle w:val="Bodytext0"/>
        <w:numPr>
          <w:ilvl w:val="0"/>
          <w:numId w:val="1"/>
        </w:numPr>
        <w:shd w:val="clear" w:color="auto" w:fill="auto"/>
        <w:spacing w:before="0" w:after="300" w:line="322" w:lineRule="exact"/>
        <w:ind w:left="20" w:right="40"/>
        <w:jc w:val="both"/>
      </w:pPr>
      <w:r>
        <w:t xml:space="preserve"> Grieved by the aforesaid order, the Union of India and its functionaries approached the High Court, which, by the impugned judgment, came to hold as follows: -</w:t>
      </w:r>
    </w:p>
    <w:p w:rsidR="00927434" w:rsidRDefault="007E44CC">
      <w:pPr>
        <w:pStyle w:val="Bodytext0"/>
        <w:shd w:val="clear" w:color="auto" w:fill="auto"/>
        <w:spacing w:before="0" w:after="349" w:line="322" w:lineRule="exact"/>
        <w:ind w:left="740" w:right="40"/>
        <w:jc w:val="both"/>
      </w:pPr>
      <w:r>
        <w:t xml:space="preserve">“In our considered opinion, no flaw </w:t>
      </w:r>
      <w:r>
        <w:t>can be noticed in the reasoning arid the conclusion of the Tribunal while allowing the Original Application. In the first place, it is based on the Supreme Court decision quoted in the order itself. Secondly, there is no distinction brought about the facts</w:t>
      </w:r>
      <w:r>
        <w:t xml:space="preserve"> of the case that is subject matter of the case in hand the one before the Supreme Court. Thirdly the impugned directions for fixation of the pension on the basis of last drawn pay cannot be said to be either illegal or arbitrary or against any provision o</w:t>
      </w:r>
      <w:r>
        <w:t>f Act or/and rule made thereunder.”</w:t>
      </w:r>
    </w:p>
    <w:p w:rsidR="00927434" w:rsidRDefault="007E44CC">
      <w:pPr>
        <w:pStyle w:val="Bodytext0"/>
        <w:numPr>
          <w:ilvl w:val="0"/>
          <w:numId w:val="1"/>
        </w:numPr>
        <w:shd w:val="clear" w:color="auto" w:fill="auto"/>
        <w:spacing w:before="0" w:after="317" w:line="260" w:lineRule="exact"/>
        <w:ind w:left="20"/>
        <w:jc w:val="both"/>
      </w:pPr>
      <w:r>
        <w:t xml:space="preserve"> On the basis of aforesaid analysis the writ court dismissed the petition.</w:t>
      </w:r>
    </w:p>
    <w:p w:rsidR="00927434" w:rsidRDefault="007E44CC">
      <w:pPr>
        <w:pStyle w:val="Bodytext0"/>
        <w:numPr>
          <w:ilvl w:val="0"/>
          <w:numId w:val="1"/>
        </w:numPr>
        <w:shd w:val="clear" w:color="auto" w:fill="auto"/>
        <w:tabs>
          <w:tab w:val="left" w:pos="5593"/>
          <w:tab w:val="right" w:pos="9337"/>
        </w:tabs>
        <w:spacing w:before="0" w:after="296" w:line="317" w:lineRule="exact"/>
        <w:ind w:left="20" w:right="40"/>
        <w:jc w:val="both"/>
      </w:pPr>
      <w:r>
        <w:t xml:space="preserve"> Criticising the orders passed by the tribunal as well as by the High Court Mr. S. P. Singh, learned senior counsel for the appellants has submit</w:t>
      </w:r>
      <w:r>
        <w:t>ted that when the respondent was sent on deputation and came back to the parent department accepting promotion he was to be treated at par with other promotees and could not have been entitled to draw higher pay scale solely on the ground that he was getti</w:t>
      </w:r>
      <w:r>
        <w:t>ng a better pay while he was on deputation. It is urged by him when the respondent had no legal right to get a particular pay scale and it was wrongly fixed and could only be noticed prior to his retirement it became obligatory on the part of the authoriti</w:t>
      </w:r>
      <w:r>
        <w:t xml:space="preserve">es to refix the pay and accordingly determine the pension and hence, the action of the authorities could not have been found fault with. It is his further submission that neither the tribunal nor the High Court has addressed the issue </w:t>
      </w:r>
      <w:r>
        <w:rPr>
          <w:rStyle w:val="Bodytext11pt"/>
        </w:rPr>
        <w:t>Law Information Cente</w:t>
      </w:r>
      <w:r>
        <w:rPr>
          <w:rStyle w:val="Bodytext11pt"/>
        </w:rPr>
        <w:t>r</w:t>
      </w:r>
      <w:r>
        <w:rPr>
          <w:rStyle w:val="Bodytext11pt"/>
        </w:rPr>
        <w:tab/>
        <w:t>2</w:t>
      </w:r>
      <w:r>
        <w:rPr>
          <w:rStyle w:val="Bodytext11pt"/>
        </w:rPr>
        <w:tab/>
        <w:t xml:space="preserve">SpotLaw </w:t>
      </w:r>
      <w:r>
        <w:t xml:space="preserve">pertaining to the entitlement of the respondent but directed the pension to be paid on the basis of the pay drawn by him before the retirement. Learned counsel would further contend that as far as recovery is concerned, the petitioners have no </w:t>
      </w:r>
      <w:r>
        <w:t>intention to recover the same.</w:t>
      </w:r>
    </w:p>
    <w:p w:rsidR="00927434" w:rsidRDefault="007E44CC">
      <w:pPr>
        <w:pStyle w:val="Bodytext0"/>
        <w:numPr>
          <w:ilvl w:val="0"/>
          <w:numId w:val="1"/>
        </w:numPr>
        <w:shd w:val="clear" w:color="auto" w:fill="auto"/>
        <w:spacing w:before="0" w:after="300" w:line="322" w:lineRule="exact"/>
        <w:ind w:left="20" w:right="40"/>
        <w:jc w:val="both"/>
      </w:pPr>
      <w:r>
        <w:t xml:space="preserve"> Ms. Aishwarya Bhati, learned counsel for the respondent relying on the authorities which have been pressed into service by the tribunal and accepted by the High Court urged that pay protection was given when the respondent c</w:t>
      </w:r>
      <w:r>
        <w:t>ame back to the parent cadre on promotion and, therefore, the said protection could not have been withdrawn on the foundation that there was an erroneous fixation of pay. It is argued by her that when a long time has lapsed from the date of repatriation on</w:t>
      </w:r>
      <w:r>
        <w:t xml:space="preserve"> promotion to the parent cadre, steps for refixation immediately prior to superannuation of the respondent is neither permissible in law nor is it equitable. Learned counsel has canvassed that in any case there cannot be recovery of the same as there had b</w:t>
      </w:r>
      <w:r>
        <w:t>een no misrepresentation by the respondent to avail the said benefit.</w:t>
      </w:r>
    </w:p>
    <w:p w:rsidR="00927434" w:rsidRDefault="007E44CC">
      <w:pPr>
        <w:pStyle w:val="Bodytext0"/>
        <w:numPr>
          <w:ilvl w:val="0"/>
          <w:numId w:val="1"/>
        </w:numPr>
        <w:shd w:val="clear" w:color="auto" w:fill="auto"/>
        <w:spacing w:before="0" w:after="300" w:line="322" w:lineRule="exact"/>
        <w:ind w:left="20" w:right="40"/>
        <w:jc w:val="both"/>
      </w:pPr>
      <w:r>
        <w:t xml:space="preserve"> From the aforesaid rivalised submissions two questions, namely, (i) whether the pay of the respondent was erroneously fixed and (ii) whether there could have been a direction for recove</w:t>
      </w:r>
      <w:r>
        <w:t>ry of the amount alleged to have been excessibly paid to the respondent, emerge for consideration.</w:t>
      </w:r>
    </w:p>
    <w:p w:rsidR="00927434" w:rsidRDefault="007E44CC">
      <w:pPr>
        <w:pStyle w:val="Bodytext0"/>
        <w:numPr>
          <w:ilvl w:val="0"/>
          <w:numId w:val="1"/>
        </w:numPr>
        <w:shd w:val="clear" w:color="auto" w:fill="auto"/>
        <w:spacing w:before="0" w:after="304" w:line="322" w:lineRule="exact"/>
        <w:ind w:left="20" w:right="40"/>
        <w:jc w:val="both"/>
      </w:pPr>
      <w:r>
        <w:t xml:space="preserve"> It is perceptible from the orders passed by the tribunal as well as by the High Court that they have set aside the order dated 22.10.2007 placing reliance o</w:t>
      </w:r>
      <w:r>
        <w:t xml:space="preserve">n three authorities. In Inder Pal Yadav (supra), a two-Judge Bench dealt with regularization and permanent absorption. It also dealt with the entitlement of the right of the employees to continue in the concerned project or to resist reversion back to the </w:t>
      </w:r>
      <w:r>
        <w:t xml:space="preserve">cadre or to enjoy a higher promotion merely on the basis of locally provisional promotion granted to them in the project in which they had been employed at a particular point of time. The Court has observed that if the stand of the petitioners therein was </w:t>
      </w:r>
      <w:r>
        <w:t>to be accepted, it would operate inequitably so far as the regular employees in the open line department are concerned. Thereafter, the learned Judges proceeded to state as follows: -</w:t>
      </w:r>
    </w:p>
    <w:p w:rsidR="00927434" w:rsidRDefault="007E44CC">
      <w:pPr>
        <w:pStyle w:val="Bodytext0"/>
        <w:shd w:val="clear" w:color="auto" w:fill="auto"/>
        <w:spacing w:before="0" w:line="317" w:lineRule="exact"/>
        <w:ind w:left="20" w:firstLine="720"/>
        <w:jc w:val="both"/>
      </w:pPr>
      <w:r>
        <w:t xml:space="preserve">“ while the petitioners cannot be granted the reliefs as prayed for in </w:t>
      </w:r>
      <w:r>
        <w:t>the</w:t>
      </w:r>
    </w:p>
    <w:p w:rsidR="00927434" w:rsidRDefault="007E44CC">
      <w:pPr>
        <w:pStyle w:val="Bodytext0"/>
        <w:shd w:val="clear" w:color="auto" w:fill="auto"/>
        <w:tabs>
          <w:tab w:val="right" w:pos="5689"/>
          <w:tab w:val="right" w:pos="9337"/>
        </w:tabs>
        <w:spacing w:before="0" w:line="317" w:lineRule="exact"/>
        <w:ind w:left="20" w:right="40" w:firstLine="720"/>
        <w:jc w:val="both"/>
        <w:sectPr w:rsidR="00927434">
          <w:type w:val="continuous"/>
          <w:pgSz w:w="12240" w:h="15840"/>
          <w:pgMar w:top="1210" w:right="1416" w:bottom="1502" w:left="1420" w:header="0" w:footer="3" w:gutter="0"/>
          <w:cols w:space="720"/>
          <w:noEndnote/>
          <w:docGrid w:linePitch="360"/>
        </w:sectPr>
      </w:pPr>
      <w:r>
        <w:t>writ petition, namely, that they should not be reverted to a lower post or that they should be treated as having been promoted by reason of their promotion in the projects, nevertheless, we wish to protect the petitioners against some</w:t>
      </w:r>
      <w:r>
        <w:t xml:space="preserve"> of the anomalies which may arise, if the petitioners are directed to join their parent cadre or other project, in future. It cannot be lost sight of that the </w:t>
      </w:r>
      <w:r>
        <w:rPr>
          <w:rStyle w:val="Bodytext11pt"/>
        </w:rPr>
        <w:t>Law Information Center</w:t>
      </w:r>
      <w:r>
        <w:rPr>
          <w:rStyle w:val="Bodytext11pt"/>
        </w:rPr>
        <w:tab/>
        <w:t>3</w:t>
      </w:r>
      <w:r>
        <w:rPr>
          <w:rStyle w:val="Bodytext11pt"/>
        </w:rPr>
        <w:tab/>
        <w:t>SpotLaw</w:t>
      </w:r>
    </w:p>
    <w:p w:rsidR="00927434" w:rsidRDefault="007E44CC">
      <w:pPr>
        <w:pStyle w:val="Bodytext0"/>
        <w:shd w:val="clear" w:color="auto" w:fill="auto"/>
        <w:spacing w:before="0" w:after="300" w:line="322" w:lineRule="exact"/>
        <w:ind w:left="740" w:right="40"/>
        <w:jc w:val="both"/>
      </w:pPr>
      <w:r>
        <w:t>petitioners have passed trade tests to achieve the promotional l</w:t>
      </w:r>
      <w:r>
        <w:t>evel in a particular project. Therefore, if the petitioners are posted back to the same project they shall be entitled to the same pay as their contemporaries unless the posts held by such contemporary employees at the time of such reposting of the petitio</w:t>
      </w:r>
      <w:r>
        <w:t>ners is based on selection.”</w:t>
      </w:r>
    </w:p>
    <w:p w:rsidR="00927434" w:rsidRDefault="007E44CC">
      <w:pPr>
        <w:pStyle w:val="Bodytext0"/>
        <w:numPr>
          <w:ilvl w:val="0"/>
          <w:numId w:val="1"/>
        </w:numPr>
        <w:shd w:val="clear" w:color="auto" w:fill="auto"/>
        <w:spacing w:before="0" w:after="300" w:line="322" w:lineRule="exact"/>
        <w:ind w:left="20" w:right="40"/>
        <w:jc w:val="both"/>
      </w:pPr>
      <w:r>
        <w:t xml:space="preserve"> The learned counsel for the respondent would place reliance on the last part of above quoted paragraph but the same, we are inclined to think, does not in any way buttress the submission put forth by the learned counsel for th</w:t>
      </w:r>
      <w:r>
        <w:t>e respondent.</w:t>
      </w:r>
    </w:p>
    <w:p w:rsidR="00927434" w:rsidRDefault="007E44CC">
      <w:pPr>
        <w:pStyle w:val="Bodytext0"/>
        <w:numPr>
          <w:ilvl w:val="0"/>
          <w:numId w:val="1"/>
        </w:numPr>
        <w:shd w:val="clear" w:color="auto" w:fill="auto"/>
        <w:spacing w:before="0" w:after="300" w:line="322" w:lineRule="exact"/>
        <w:ind w:left="20" w:right="40"/>
        <w:jc w:val="both"/>
      </w:pPr>
      <w:r>
        <w:t xml:space="preserve"> In Badri Prasad (supra) the issue was whether an employee substantially holding Group ‘D’ post can claim regular promotional post, i.e., Group ‘C’. The Court in that context observed that the practice adopted by the Railways of taking work f</w:t>
      </w:r>
      <w:r>
        <w:t>rom employees in Group ‘D’ post on higher Group ‘C’ post for unduly long period legitimately raises hopes and claims for higher posts by those working in such higher posts. As the Railways is utilising for long periods the services of employees in Group ‘D</w:t>
      </w:r>
      <w:r>
        <w:t>’ post for higher post in Group ‘C’ carrying higher responsibilities, benefit of pay protection, age relaxation and counting of their service on the higher post towards requisite minimum prescribed period of service, if any, for promotion to the higher pos</w:t>
      </w:r>
      <w:r>
        <w:t>t must be granted to them as their legitimate claim. But they cannot be granted relief of regularising their services on the post of Storeman/Clerk merely on the basis of their ad hoc promotion from open line to higher post in the project or construction s</w:t>
      </w:r>
      <w:r>
        <w:t>ide. After so stating the Court opined thus:-</w:t>
      </w:r>
    </w:p>
    <w:p w:rsidR="00927434" w:rsidRDefault="007E44CC">
      <w:pPr>
        <w:pStyle w:val="Bodytext0"/>
        <w:shd w:val="clear" w:color="auto" w:fill="auto"/>
        <w:spacing w:before="0" w:after="300" w:line="322" w:lineRule="exact"/>
        <w:ind w:left="740" w:right="40"/>
        <w:jc w:val="both"/>
      </w:pPr>
      <w:r>
        <w:t>“Without disturbing, therefore, orders of the Tribunal and the High Court the appellants are held entitled to the following additional reliefs. The pay last drawn by them in Group ‘C’ post shall be protected ev</w:t>
      </w:r>
      <w:r>
        <w:t>en after their repatriation to Group ‘D’ post in their parent department. They shall be considered in their turn for promotion to Group ‘C’ post. The period of service spent by them on ad hoc basis in Group ‘C’ post shall be given due weightage and counted</w:t>
      </w:r>
      <w:r>
        <w:t xml:space="preserve"> towards length of requisite service, if any, prescribed for higher post in Group ‘C’. If there is any bar of age that shall be relaxed in the case of the appellants.”</w:t>
      </w:r>
    </w:p>
    <w:p w:rsidR="00927434" w:rsidRDefault="007E44CC">
      <w:pPr>
        <w:pStyle w:val="Bodytext0"/>
        <w:numPr>
          <w:ilvl w:val="0"/>
          <w:numId w:val="1"/>
        </w:numPr>
        <w:shd w:val="clear" w:color="auto" w:fill="auto"/>
        <w:spacing w:before="0" w:line="322" w:lineRule="exact"/>
        <w:ind w:left="20" w:right="40"/>
        <w:jc w:val="both"/>
      </w:pPr>
      <w:r>
        <w:t xml:space="preserve"> Reading the decision in entirety we are persuaded to think that the directions were iss</w:t>
      </w:r>
      <w:r>
        <w:t>ued in the special fact- situation and, in any case, it does not pertain to a situation where someone gets repatriated on being selected to a higher post and on that foundation would claim pay protection and consequent fixation of pay in the selection post</w:t>
      </w:r>
      <w:r>
        <w:t>.</w:t>
      </w:r>
    </w:p>
    <w:p w:rsidR="00927434" w:rsidRDefault="007E44CC">
      <w:pPr>
        <w:pStyle w:val="Bodytext30"/>
        <w:shd w:val="clear" w:color="auto" w:fill="auto"/>
        <w:tabs>
          <w:tab w:val="center" w:pos="5650"/>
          <w:tab w:val="right" w:pos="9337"/>
        </w:tabs>
        <w:spacing w:line="220" w:lineRule="exact"/>
        <w:ind w:left="20"/>
      </w:pPr>
      <w:r>
        <w:t>Law Information Center</w:t>
      </w:r>
      <w:r>
        <w:tab/>
        <w:t>4</w:t>
      </w:r>
      <w:r>
        <w:tab/>
        <w:t>SpotLaw</w:t>
      </w:r>
    </w:p>
    <w:p w:rsidR="00927434" w:rsidRDefault="007E44CC">
      <w:pPr>
        <w:pStyle w:val="Bodytext0"/>
        <w:numPr>
          <w:ilvl w:val="0"/>
          <w:numId w:val="1"/>
        </w:numPr>
        <w:shd w:val="clear" w:color="auto" w:fill="auto"/>
        <w:spacing w:before="0" w:after="300" w:line="322" w:lineRule="exact"/>
        <w:ind w:left="20" w:right="40"/>
        <w:jc w:val="both"/>
      </w:pPr>
      <w:r>
        <w:t xml:space="preserve"> In Syed Abdul Quadir (supra) the Court was dealing with fixation of pay under FR 22-C and as there was a wrong fixation, the question of recovery arose. The Court, relying on earlier decisions, opined thus:-</w:t>
      </w:r>
    </w:p>
    <w:p w:rsidR="00927434" w:rsidRDefault="007E44CC">
      <w:pPr>
        <w:pStyle w:val="Bodytext0"/>
        <w:shd w:val="clear" w:color="auto" w:fill="auto"/>
        <w:spacing w:before="0" w:after="300" w:line="322" w:lineRule="exact"/>
        <w:ind w:left="740" w:right="40"/>
        <w:jc w:val="both"/>
      </w:pPr>
      <w:r>
        <w:t xml:space="preserve">“The relief </w:t>
      </w:r>
      <w:r>
        <w:t>against recovery is granted by courts not because of any right in the employees, but in equity, exercising judicial discretion to relieve the employees from the hardship that will be caused if recovery is ordered. But, if in a given case, it is proved that</w:t>
      </w:r>
      <w:r>
        <w:t xml:space="preserve"> the employee had knowledge that the payment received was in excess of what was due or wrongly paid, or in cases where the error is detected or corrected within a short time of wrong payment, the matter being in the realm of judicial discretion, courts may</w:t>
      </w:r>
      <w:r>
        <w:t>, on the facts and circumstances of any particular case, order for recovery of the amount paid in excess. See Sahib Ram v. State of Haryana[4], Shyam Babu Verma v. Union of India[5], Union of India v. M. Bhaskar[6], V. Gangaram v. Director[7], Col. V.J. Ak</w:t>
      </w:r>
      <w:r>
        <w:t>kara (Retd.) v. Govt of India[8], Purshottam Lal Das v. State of Bihar[9], Punjab National Bank v. Manjeet Singh[10] and Bihar SEB v. Bijay Bhadur[11].”</w:t>
      </w:r>
    </w:p>
    <w:p w:rsidR="00927434" w:rsidRDefault="007E44CC">
      <w:pPr>
        <w:pStyle w:val="Bodytext0"/>
        <w:numPr>
          <w:ilvl w:val="0"/>
          <w:numId w:val="1"/>
        </w:numPr>
        <w:shd w:val="clear" w:color="auto" w:fill="auto"/>
        <w:spacing w:before="0" w:after="300" w:line="322" w:lineRule="exact"/>
        <w:ind w:left="20" w:right="40"/>
        <w:jc w:val="both"/>
      </w:pPr>
      <w:r>
        <w:t xml:space="preserve"> From the aforesaid decision it is clear as day that it has been relied upon to by the tribunal as well</w:t>
      </w:r>
      <w:r>
        <w:t xml:space="preserve"> as by the High Court for the purpose that there should be no recovery. Mr. Singh has conceded that steps shall not be taken for any recovery, and we think that the concession has been justly given. Be it noted, the aforesaid decision does not assist the r</w:t>
      </w:r>
      <w:r>
        <w:t>espond to pyramid the submission of pay fixation and grant of pension.</w:t>
      </w:r>
    </w:p>
    <w:p w:rsidR="00927434" w:rsidRDefault="007E44CC">
      <w:pPr>
        <w:pStyle w:val="Bodytext0"/>
        <w:numPr>
          <w:ilvl w:val="0"/>
          <w:numId w:val="1"/>
        </w:numPr>
        <w:shd w:val="clear" w:color="auto" w:fill="auto"/>
        <w:spacing w:before="0" w:after="300" w:line="322" w:lineRule="exact"/>
        <w:ind w:left="20" w:right="40"/>
        <w:jc w:val="both"/>
      </w:pPr>
      <w:r>
        <w:t xml:space="preserve"> In Union of India and another v. P.N. Natarajan and others[12] the Court was dealing with a fact-situation where there was withdrawal of pensionary benefits. Adverting to the concept o</w:t>
      </w:r>
      <w:r>
        <w:t>f natural justice and, relying on the decisions in State of Orissa v. Dr. Binapani Dei[13] and Sayeedur Rehman v. State of Bihar[14], the Court ruled thus: -</w:t>
      </w:r>
    </w:p>
    <w:p w:rsidR="00927434" w:rsidRDefault="007E44CC">
      <w:pPr>
        <w:pStyle w:val="Bodytext0"/>
        <w:shd w:val="clear" w:color="auto" w:fill="auto"/>
        <w:spacing w:before="0" w:line="322" w:lineRule="exact"/>
        <w:ind w:left="740" w:right="40"/>
        <w:jc w:val="both"/>
      </w:pPr>
      <w:r>
        <w:t>“16. It is not in dispute that before directing revision of the pension, etc. payable to the priva</w:t>
      </w:r>
      <w:r>
        <w:t>te respondents, the Central Government did not give them action-oriented notice and opportunity of showing cause against the proposed action. Therefore, it must be held that the direction given by the Central Government to revise the retiral benefits inclu</w:t>
      </w:r>
      <w:r>
        <w:t>ding the pension payable to the respondents was nullity.</w:t>
      </w:r>
    </w:p>
    <w:p w:rsidR="00927434" w:rsidRDefault="007E44CC">
      <w:pPr>
        <w:pStyle w:val="Bodytext0"/>
        <w:shd w:val="clear" w:color="auto" w:fill="auto"/>
        <w:spacing w:before="0" w:after="300" w:line="322" w:lineRule="exact"/>
        <w:ind w:left="740" w:right="40"/>
        <w:jc w:val="both"/>
      </w:pPr>
      <w:r>
        <w:t>17. Dehors the above conclusion, we are convinced that the action taken by the appellants to revise and reduce the retiral benefits payable to the respondents was ex facie arbitrary, unreasonable and</w:t>
      </w:r>
      <w:r>
        <w:t xml:space="preserve"> unjustified and the learned Single Judge did not commit any error by declaring that the Central Government did not have the jurisdiction to unilaterally alter/change the option exercised by the writ petitioners under Section 12-A(4)(b) read with Section 1</w:t>
      </w:r>
      <w:r>
        <w:t>2-A(4-C).”</w:t>
      </w:r>
    </w:p>
    <w:p w:rsidR="00927434" w:rsidRDefault="007E44CC">
      <w:pPr>
        <w:pStyle w:val="Bodytext0"/>
        <w:numPr>
          <w:ilvl w:val="0"/>
          <w:numId w:val="1"/>
        </w:numPr>
        <w:shd w:val="clear" w:color="auto" w:fill="auto"/>
        <w:spacing w:before="0" w:after="300" w:line="322" w:lineRule="exact"/>
        <w:ind w:left="20" w:right="40"/>
        <w:jc w:val="both"/>
      </w:pPr>
      <w:r>
        <w:t xml:space="preserve"> The aforesaid conclusion was arrived at as the Union of India as such could not have invoked the terms of the memorandum of settlement to justify the directives and retiral benefits payable to the respondents. The aforesaid decision has to be r</w:t>
      </w:r>
      <w:r>
        <w:t>ead in the context of its facts and not to be construed as a precedent for the proposition that if the pay has been erroneously fixed that cannot be revised even if the facts are absolutely clear and undisputed.</w:t>
      </w:r>
    </w:p>
    <w:p w:rsidR="00927434" w:rsidRDefault="007E44CC">
      <w:pPr>
        <w:pStyle w:val="Bodytext0"/>
        <w:numPr>
          <w:ilvl w:val="0"/>
          <w:numId w:val="1"/>
        </w:numPr>
        <w:shd w:val="clear" w:color="auto" w:fill="auto"/>
        <w:spacing w:before="0" w:after="304" w:line="322" w:lineRule="exact"/>
        <w:ind w:left="20" w:right="40"/>
        <w:jc w:val="both"/>
      </w:pPr>
      <w:r>
        <w:t xml:space="preserve"> We may note with profit that Mr. Singh, lea</w:t>
      </w:r>
      <w:r>
        <w:t>rned senior counsel, has submitted that the respondent was holding an ex-cadre post and it was the duty of the employer to ask him to participate in the selection in the promotional post, in the parent cadre. The respondent, being conscious of his position</w:t>
      </w:r>
      <w:r>
        <w:t xml:space="preserve"> and to have the status, appeared in the selection process, got selected and joined the parent cadre. The learned senior counsel would submit that under a mistaken pression his pay was fixed in the promotional post in the parent cadre as a consequence of w</w:t>
      </w:r>
      <w:r>
        <w:t>hich he got more than the promotees in his batch and, hence, the same was required to be rectified and the employer was within its right to do so.</w:t>
      </w:r>
    </w:p>
    <w:p w:rsidR="00927434" w:rsidRDefault="007E44CC">
      <w:pPr>
        <w:pStyle w:val="Bodytext0"/>
        <w:numPr>
          <w:ilvl w:val="0"/>
          <w:numId w:val="1"/>
        </w:numPr>
        <w:shd w:val="clear" w:color="auto" w:fill="auto"/>
        <w:tabs>
          <w:tab w:val="center" w:pos="5650"/>
          <w:tab w:val="right" w:pos="9337"/>
        </w:tabs>
        <w:spacing w:before="0" w:after="296" w:line="317" w:lineRule="exact"/>
        <w:ind w:left="20" w:right="40"/>
        <w:jc w:val="both"/>
        <w:sectPr w:rsidR="00927434">
          <w:footerReference w:type="default" r:id="rId7"/>
          <w:pgSz w:w="12240" w:h="15840"/>
          <w:pgMar w:top="1210" w:right="1416" w:bottom="1502" w:left="1420" w:header="0" w:footer="3" w:gutter="0"/>
          <w:cols w:space="720"/>
          <w:noEndnote/>
          <w:docGrid w:linePitch="360"/>
        </w:sectPr>
      </w:pPr>
      <w:r>
        <w:t xml:space="preserve"> It is not in dispute that the respondent was sent on deputation and his lien in the parent department continued and hence, it was obligatory on the part of the authorities in the parent department to intim</w:t>
      </w:r>
      <w:r>
        <w:t>ate him when the selection process for the higher post was undertaken as he had already come within the zone of consideration. In this context, we may refer with profit to the authority in D.M. Bharati v. L.M. Sud and others[15] wherein the Court was deali</w:t>
      </w:r>
      <w:r>
        <w:t>ng with a case whether the employee had got a promotion in the department to which he was sent on deputation. While considering the effect of the said promotion after repatriation the Court observed thus:- “that the appellant’s promotion as junior draftsma</w:t>
      </w:r>
      <w:r>
        <w:t xml:space="preserve">n and proposed promotion as Surveyor-cum-Draftsman in the Town Planning Establishment cannot confer any rights on him in his parent department. When he left the Municipal Corporation and joined the Town Planning Establishment he was a tracer and he can go </w:t>
      </w:r>
      <w:r>
        <w:t xml:space="preserve">back to the Estate Department or any other department of the Municipal Corporation only to his original post i.e. as tracer, subject to the modification that, if in the meantime he had qualified for promotion to a higher </w:t>
      </w:r>
      <w:r>
        <w:rPr>
          <w:rStyle w:val="Bodytext11pt"/>
        </w:rPr>
        <w:t>Law Information Center</w:t>
      </w:r>
      <w:r>
        <w:rPr>
          <w:rStyle w:val="Bodytext11pt"/>
        </w:rPr>
        <w:tab/>
        <w:t>6</w:t>
      </w:r>
      <w:r>
        <w:rPr>
          <w:rStyle w:val="Bodytext11pt"/>
        </w:rPr>
        <w:tab/>
        <w:t xml:space="preserve">SpotLaw </w:t>
      </w:r>
    </w:p>
    <w:p w:rsidR="00927434" w:rsidRDefault="007E44CC">
      <w:pPr>
        <w:pStyle w:val="Bodytext0"/>
        <w:shd w:val="clear" w:color="auto" w:fill="auto"/>
        <w:tabs>
          <w:tab w:val="center" w:pos="5650"/>
          <w:tab w:val="right" w:pos="9337"/>
        </w:tabs>
        <w:spacing w:before="0" w:after="296" w:line="317" w:lineRule="exact"/>
        <w:ind w:left="20" w:right="40"/>
        <w:jc w:val="both"/>
      </w:pPr>
      <w:r>
        <w:t>p</w:t>
      </w:r>
      <w:r>
        <w:t>ost, that benefit cannot be denied to him. ” Thus, the repatriation has to be to the original post and benefit of promotion in the department to which an employee is deputed is of no consequence subject to his entitlement of status otherwise available in t</w:t>
      </w:r>
      <w:r>
        <w:t>he parent department.</w:t>
      </w:r>
    </w:p>
    <w:p w:rsidR="00927434" w:rsidRDefault="007E44CC">
      <w:pPr>
        <w:pStyle w:val="Bodytext0"/>
        <w:numPr>
          <w:ilvl w:val="0"/>
          <w:numId w:val="1"/>
        </w:numPr>
        <w:shd w:val="clear" w:color="auto" w:fill="auto"/>
        <w:spacing w:before="0" w:after="300" w:line="322" w:lineRule="exact"/>
        <w:ind w:left="20" w:right="40"/>
        <w:jc w:val="both"/>
      </w:pPr>
      <w:r>
        <w:t xml:space="preserve"> In Puranjit Singh v. Union Territory of Chandigarh[16] it has been held that when a deputationist is repatriated he cannot claim promotions in the parent department on the basis on officiation in a higher post in the borrower organiz</w:t>
      </w:r>
      <w:r>
        <w:t>ation.</w:t>
      </w:r>
    </w:p>
    <w:p w:rsidR="00927434" w:rsidRDefault="007E44CC">
      <w:pPr>
        <w:pStyle w:val="Bodytext0"/>
        <w:numPr>
          <w:ilvl w:val="0"/>
          <w:numId w:val="1"/>
        </w:numPr>
        <w:shd w:val="clear" w:color="auto" w:fill="auto"/>
        <w:spacing w:before="0" w:after="300" w:line="322" w:lineRule="exact"/>
        <w:ind w:left="20" w:right="40"/>
        <w:jc w:val="both"/>
      </w:pPr>
      <w:r>
        <w:t xml:space="preserve"> In State of Punjab and others v. Inder Singh and others[17], the learned Judges elaborately adverted to the concept of deputation and the right of a deputationist and in that context opined thus:-</w:t>
      </w:r>
    </w:p>
    <w:p w:rsidR="00927434" w:rsidRDefault="007E44CC">
      <w:pPr>
        <w:pStyle w:val="Bodytext0"/>
        <w:shd w:val="clear" w:color="auto" w:fill="auto"/>
        <w:spacing w:before="0" w:after="300" w:line="322" w:lineRule="exact"/>
        <w:ind w:left="740" w:right="40"/>
        <w:jc w:val="both"/>
      </w:pPr>
      <w:r>
        <w:t xml:space="preserve">“The concept of “deputation” is well understood in </w:t>
      </w:r>
      <w:r>
        <w:t>service law and has a recognised meaning. “Deputation” has a different connotation in service law and the dictionary meaning of the word “deputation” is of no help. In simple words “deputation” means service outside the cadre or outside the parent departme</w:t>
      </w:r>
      <w:r>
        <w:t xml:space="preserve">nt. Deputation is deputing or transferring an employee to a post outside his cadre, that is to say, to another department on a temporary basis. After the expiry period of deputation the employee has to come back to his parent department to occupy the same </w:t>
      </w:r>
      <w:r>
        <w:t>position unless in the meanwhile he has earned promotion in his parent department as per the Recruitment Rules.”</w:t>
      </w:r>
    </w:p>
    <w:p w:rsidR="00927434" w:rsidRDefault="007E44CC">
      <w:pPr>
        <w:pStyle w:val="Bodytext0"/>
        <w:numPr>
          <w:ilvl w:val="0"/>
          <w:numId w:val="1"/>
        </w:numPr>
        <w:shd w:val="clear" w:color="auto" w:fill="auto"/>
        <w:spacing w:before="0" w:after="300" w:line="322" w:lineRule="exact"/>
        <w:ind w:left="20" w:right="40"/>
        <w:jc w:val="both"/>
      </w:pPr>
      <w:r>
        <w:t xml:space="preserve"> In the case at hand, as stated earlier, the respondent was getting higher scale of pay in the post while he was holding a particular post as a</w:t>
      </w:r>
      <w:r>
        <w:t xml:space="preserve"> deputationist. After his repatriation to the parent cadre on selection to a higher post he was given higher scale of pay as it was fixed keeping in view the pay scale drawn by him while he was working in the ex-cadre post. Such fixation of pay, needless t</w:t>
      </w:r>
      <w:r>
        <w:t>o say, was erroneous and, therefore, the authorities were within their domain to rectify the same. Thus analysed, the irresistible conclusion is that the tribunal and the High Court have fallen into error by opining that the respondent would be entitled to</w:t>
      </w:r>
      <w:r>
        <w:t xml:space="preserve"> get the pension on the basis of the pay drawn by him before his retirement.</w:t>
      </w:r>
    </w:p>
    <w:p w:rsidR="00927434" w:rsidRDefault="007E44CC">
      <w:pPr>
        <w:pStyle w:val="Bodytext0"/>
        <w:numPr>
          <w:ilvl w:val="0"/>
          <w:numId w:val="1"/>
        </w:numPr>
        <w:shd w:val="clear" w:color="auto" w:fill="auto"/>
        <w:spacing w:before="0" w:line="322" w:lineRule="exact"/>
        <w:ind w:left="20" w:right="40"/>
        <w:jc w:val="both"/>
        <w:sectPr w:rsidR="00927434">
          <w:footerReference w:type="even" r:id="rId8"/>
          <w:footerReference w:type="default" r:id="rId9"/>
          <w:pgSz w:w="12240" w:h="15840"/>
          <w:pgMar w:top="1210" w:right="1416" w:bottom="1502" w:left="1420" w:header="0" w:footer="3" w:gutter="0"/>
          <w:cols w:space="720"/>
          <w:noEndnote/>
          <w:docGrid w:linePitch="360"/>
        </w:sectPr>
      </w:pPr>
      <w:r>
        <w:t xml:space="preserve"> Consequently, the appeal is allowed in part and the orders passed by the tribunal as well as by the High Court are set aside directing fixation of pension on the base of pay drawn by the respondent. However, as conceded to by Mr. Singh, there shall be no </w:t>
      </w:r>
      <w:r>
        <w:t>recovery from the excess amount paid to the respondent. There shall be no order as to costs.</w:t>
      </w:r>
    </w:p>
    <w:p w:rsidR="00927434" w:rsidRDefault="007E44CC">
      <w:pPr>
        <w:pStyle w:val="Bodytext0"/>
        <w:numPr>
          <w:ilvl w:val="0"/>
          <w:numId w:val="2"/>
        </w:numPr>
        <w:shd w:val="clear" w:color="auto" w:fill="auto"/>
        <w:spacing w:before="0" w:line="322" w:lineRule="exact"/>
        <w:jc w:val="left"/>
      </w:pPr>
      <w:r>
        <w:t xml:space="preserve"> (2005) 11 SCC 301</w:t>
      </w:r>
    </w:p>
    <w:p w:rsidR="00927434" w:rsidRDefault="007E44CC">
      <w:pPr>
        <w:pStyle w:val="Bodytext0"/>
        <w:numPr>
          <w:ilvl w:val="0"/>
          <w:numId w:val="2"/>
        </w:numPr>
        <w:shd w:val="clear" w:color="auto" w:fill="auto"/>
        <w:spacing w:before="0" w:line="322" w:lineRule="exact"/>
        <w:jc w:val="left"/>
      </w:pPr>
      <w:r>
        <w:t xml:space="preserve"> (2005) 11 SCC 304</w:t>
      </w:r>
    </w:p>
    <w:p w:rsidR="00927434" w:rsidRDefault="007E44CC">
      <w:pPr>
        <w:pStyle w:val="Bodytext0"/>
        <w:numPr>
          <w:ilvl w:val="0"/>
          <w:numId w:val="2"/>
        </w:numPr>
        <w:shd w:val="clear" w:color="auto" w:fill="auto"/>
        <w:spacing w:before="0" w:line="322" w:lineRule="exact"/>
        <w:jc w:val="left"/>
      </w:pPr>
      <w:r>
        <w:t xml:space="preserve"> (2009) 3 SCC 475</w:t>
      </w:r>
    </w:p>
    <w:p w:rsidR="00927434" w:rsidRDefault="007E44CC">
      <w:pPr>
        <w:pStyle w:val="Bodytext0"/>
        <w:numPr>
          <w:ilvl w:val="0"/>
          <w:numId w:val="2"/>
        </w:numPr>
        <w:shd w:val="clear" w:color="auto" w:fill="auto"/>
        <w:spacing w:before="0" w:line="322" w:lineRule="exact"/>
        <w:jc w:val="left"/>
      </w:pPr>
      <w:r>
        <w:t xml:space="preserve"> 1995 Supp (1) SCC 18</w:t>
      </w:r>
    </w:p>
    <w:p w:rsidR="00927434" w:rsidRDefault="007E44CC">
      <w:pPr>
        <w:pStyle w:val="Bodytext0"/>
        <w:numPr>
          <w:ilvl w:val="0"/>
          <w:numId w:val="2"/>
        </w:numPr>
        <w:shd w:val="clear" w:color="auto" w:fill="auto"/>
        <w:spacing w:before="0" w:line="322" w:lineRule="exact"/>
        <w:jc w:val="left"/>
      </w:pPr>
      <w:r>
        <w:t xml:space="preserve"> (1994) 2 SCC 521</w:t>
      </w:r>
    </w:p>
    <w:p w:rsidR="00927434" w:rsidRDefault="007E44CC">
      <w:pPr>
        <w:pStyle w:val="Bodytext0"/>
        <w:numPr>
          <w:ilvl w:val="0"/>
          <w:numId w:val="2"/>
        </w:numPr>
        <w:shd w:val="clear" w:color="auto" w:fill="auto"/>
        <w:spacing w:before="0" w:line="322" w:lineRule="exact"/>
        <w:jc w:val="left"/>
      </w:pPr>
      <w:r>
        <w:t xml:space="preserve"> (1996) 4 SCC 416</w:t>
      </w:r>
    </w:p>
    <w:p w:rsidR="00927434" w:rsidRDefault="007E44CC">
      <w:pPr>
        <w:pStyle w:val="Bodytext0"/>
        <w:numPr>
          <w:ilvl w:val="0"/>
          <w:numId w:val="2"/>
        </w:numPr>
        <w:shd w:val="clear" w:color="auto" w:fill="auto"/>
        <w:spacing w:before="0" w:line="322" w:lineRule="exact"/>
        <w:jc w:val="left"/>
      </w:pPr>
      <w:r>
        <w:t xml:space="preserve"> (1997) 6 SCC 139</w:t>
      </w:r>
    </w:p>
    <w:p w:rsidR="00927434" w:rsidRDefault="007E44CC">
      <w:pPr>
        <w:pStyle w:val="Bodytext0"/>
        <w:numPr>
          <w:ilvl w:val="0"/>
          <w:numId w:val="2"/>
        </w:numPr>
        <w:shd w:val="clear" w:color="auto" w:fill="auto"/>
        <w:spacing w:before="0" w:line="322" w:lineRule="exact"/>
        <w:jc w:val="left"/>
      </w:pPr>
      <w:r>
        <w:t xml:space="preserve"> ?</w:t>
      </w:r>
    </w:p>
    <w:sectPr w:rsidR="00927434" w:rsidSect="00927434">
      <w:type w:val="continuous"/>
      <w:pgSz w:w="12240" w:h="15840"/>
      <w:pgMar w:top="1195" w:right="7577" w:bottom="11472" w:left="148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E44CC" w:rsidRDefault="007E44CC" w:rsidP="00927434">
      <w:r>
        <w:separator/>
      </w:r>
    </w:p>
  </w:endnote>
  <w:endnote w:type="continuationSeparator" w:id="1">
    <w:p w:rsidR="007E44CC" w:rsidRDefault="007E44CC" w:rsidP="009274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434" w:rsidRDefault="00927434">
    <w:pPr>
      <w:rPr>
        <w:sz w:val="2"/>
        <w:szCs w:val="2"/>
      </w:rPr>
    </w:pPr>
    <w:r w:rsidRPr="00927434">
      <w:pict>
        <v:shapetype id="_x0000_t202" coordsize="21600,21600" o:spt="202" path="m,l,21600r21600,l21600,xe">
          <v:stroke joinstyle="miter"/>
          <v:path gradientshapeok="t" o:connecttype="rect"/>
        </v:shapetype>
        <v:shape id="_x0000_s1025" type="#_x0000_t202" style="position:absolute;margin-left:72.2pt;margin-top:721.45pt;width:464.9pt;height:11.05pt;z-index:-188744064;mso-wrap-distance-left:5pt;mso-wrap-distance-right:5pt;mso-position-horizontal-relative:page;mso-position-vertical-relative:page" wrapcoords="0 0" filled="f" stroked="f">
          <v:textbox style="mso-fit-shape-to-text:t" inset="0,0,0,0">
            <w:txbxContent>
              <w:p w:rsidR="00927434" w:rsidRDefault="007E44CC">
                <w:pPr>
                  <w:pStyle w:val="Headerorfooter0"/>
                  <w:shd w:val="clear" w:color="auto" w:fill="auto"/>
                  <w:tabs>
                    <w:tab w:val="right" w:pos="5654"/>
                    <w:tab w:val="right" w:pos="9298"/>
                  </w:tabs>
                  <w:spacing w:line="240" w:lineRule="auto"/>
                </w:pPr>
                <w:r>
                  <w:rPr>
                    <w:rStyle w:val="Headerorfooter1"/>
                  </w:rPr>
                  <w:t>Law Information Center</w:t>
                </w:r>
                <w:r>
                  <w:rPr>
                    <w:rStyle w:val="Headerorfooter1"/>
                  </w:rPr>
                  <w:tab/>
                </w:r>
                <w:fldSimple w:instr=" PAGE \* MERGEFORMAT ">
                  <w:r w:rsidR="00F15A3C" w:rsidRPr="00F15A3C">
                    <w:rPr>
                      <w:rStyle w:val="Headerorfooter1"/>
                      <w:noProof/>
                    </w:rPr>
                    <w:t>5</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434" w:rsidRDefault="00927434">
    <w:pPr>
      <w:rPr>
        <w:sz w:val="2"/>
        <w:szCs w:val="2"/>
      </w:rPr>
    </w:pPr>
    <w:r w:rsidRPr="00927434">
      <w:pict>
        <v:shapetype id="_x0000_t202" coordsize="21600,21600" o:spt="202" path="m,l,21600r21600,l21600,xe">
          <v:stroke joinstyle="miter"/>
          <v:path gradientshapeok="t" o:connecttype="rect"/>
        </v:shapetype>
        <v:shape id="_x0000_s1026" type="#_x0000_t202" style="position:absolute;margin-left:72.2pt;margin-top:721.45pt;width:464.9pt;height:11.05pt;z-index:-188744063;mso-wrap-distance-left:5pt;mso-wrap-distance-right:5pt;mso-position-horizontal-relative:page;mso-position-vertical-relative:page" wrapcoords="0 0" filled="f" stroked="f">
          <v:textbox style="mso-fit-shape-to-text:t" inset="0,0,0,0">
            <w:txbxContent>
              <w:p w:rsidR="00927434" w:rsidRDefault="007E44CC">
                <w:pPr>
                  <w:pStyle w:val="Headerorfooter0"/>
                  <w:shd w:val="clear" w:color="auto" w:fill="auto"/>
                  <w:tabs>
                    <w:tab w:val="right" w:pos="5654"/>
                    <w:tab w:val="right" w:pos="9298"/>
                  </w:tabs>
                  <w:spacing w:line="240" w:lineRule="auto"/>
                </w:pPr>
                <w:r>
                  <w:rPr>
                    <w:rStyle w:val="Headerorfooter1"/>
                  </w:rPr>
                  <w:t>Law Information Center</w:t>
                </w:r>
                <w:r>
                  <w:rPr>
                    <w:rStyle w:val="Headerorfooter1"/>
                  </w:rPr>
                  <w:tab/>
                </w:r>
                <w:fldSimple w:instr=" PAGE \* MERGEFORMAT ">
                  <w:r w:rsidR="00F15A3C" w:rsidRPr="00F15A3C">
                    <w:rPr>
                      <w:rStyle w:val="Headerorfooter1"/>
                      <w:noProof/>
                    </w:rPr>
                    <w:t>8</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7434" w:rsidRDefault="00927434">
    <w:pPr>
      <w:rPr>
        <w:sz w:val="2"/>
        <w:szCs w:val="2"/>
      </w:rPr>
    </w:pPr>
    <w:r w:rsidRPr="00927434">
      <w:pict>
        <v:shapetype id="_x0000_t202" coordsize="21600,21600" o:spt="202" path="m,l,21600r21600,l21600,xe">
          <v:stroke joinstyle="miter"/>
          <v:path gradientshapeok="t" o:connecttype="rect"/>
        </v:shapetype>
        <v:shape id="_x0000_s1027" type="#_x0000_t202" style="position:absolute;margin-left:72.2pt;margin-top:721.45pt;width:464.9pt;height:11.05pt;z-index:-188744062;mso-wrap-distance-left:5pt;mso-wrap-distance-right:5pt;mso-position-horizontal-relative:page;mso-position-vertical-relative:page" wrapcoords="0 0" filled="f" stroked="f">
          <v:textbox style="mso-fit-shape-to-text:t" inset="0,0,0,0">
            <w:txbxContent>
              <w:p w:rsidR="00927434" w:rsidRDefault="007E44CC">
                <w:pPr>
                  <w:pStyle w:val="Headerorfooter0"/>
                  <w:shd w:val="clear" w:color="auto" w:fill="auto"/>
                  <w:tabs>
                    <w:tab w:val="right" w:pos="5654"/>
                    <w:tab w:val="right" w:pos="9298"/>
                  </w:tabs>
                  <w:spacing w:line="240" w:lineRule="auto"/>
                </w:pPr>
                <w:r>
                  <w:rPr>
                    <w:rStyle w:val="Headerorfooter1"/>
                  </w:rPr>
                  <w:t>Law Information Center</w:t>
                </w:r>
                <w:r>
                  <w:rPr>
                    <w:rStyle w:val="Headerorfooter1"/>
                  </w:rPr>
                  <w:tab/>
                </w:r>
                <w:fldSimple w:instr=" PAGE \* MERGEFORMAT ">
                  <w:r w:rsidR="00F15A3C" w:rsidRPr="00F15A3C">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E44CC" w:rsidRDefault="007E44CC"/>
  </w:footnote>
  <w:footnote w:type="continuationSeparator" w:id="1">
    <w:p w:rsidR="007E44CC" w:rsidRDefault="007E44C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740FD4"/>
    <w:multiLevelType w:val="multilevel"/>
    <w:tmpl w:val="D0F25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5E4009"/>
    <w:multiLevelType w:val="multilevel"/>
    <w:tmpl w:val="B84E25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27434"/>
    <w:rsid w:val="007E44CC"/>
    <w:rsid w:val="00927434"/>
    <w:rsid w:val="00F15A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2743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27434"/>
    <w:rPr>
      <w:color w:val="0066CC"/>
      <w:u w:val="single"/>
    </w:rPr>
  </w:style>
  <w:style w:type="character" w:customStyle="1" w:styleId="Bodytext2">
    <w:name w:val="Body text (2)_"/>
    <w:basedOn w:val="DefaultParagraphFont"/>
    <w:link w:val="Bodytext20"/>
    <w:rsid w:val="00927434"/>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927434"/>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927434"/>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92743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92743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27434"/>
    <w:rPr>
      <w:color w:val="000000"/>
      <w:spacing w:val="0"/>
      <w:w w:val="100"/>
      <w:position w:val="0"/>
      <w:lang w:val="en-US" w:eastAsia="en-US" w:bidi="en-US"/>
    </w:rPr>
  </w:style>
  <w:style w:type="paragraph" w:customStyle="1" w:styleId="Bodytext20">
    <w:name w:val="Body text (2)"/>
    <w:basedOn w:val="Normal"/>
    <w:link w:val="Bodytext2"/>
    <w:rsid w:val="0092743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927434"/>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927434"/>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927434"/>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2615</Words>
  <Characters>14907</Characters>
  <Application>Microsoft Office Word</Application>
  <DocSecurity>0</DocSecurity>
  <Lines>124</Lines>
  <Paragraphs>34</Paragraphs>
  <ScaleCrop>false</ScaleCrop>
  <Company/>
  <LinksUpToDate>false</LinksUpToDate>
  <CharactersWithSpaces>17488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2017-06-23T06:00:00Z</dcterms:created>
  <dcterms:modified xsi:type="dcterms:W3CDTF">2017-06-23T06:00:00Z</dcterms:modified>
</cp:coreProperties>
</file>