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25" w:rsidRDefault="00E14714">
      <w:pPr>
        <w:pStyle w:val="Bodytext20"/>
        <w:shd w:val="clear" w:color="auto" w:fill="auto"/>
        <w:spacing w:after="52" w:line="280" w:lineRule="exact"/>
        <w:ind w:left="40"/>
      </w:pPr>
      <w:r>
        <w:t>SUPREME COURT OF INDIA</w:t>
      </w:r>
    </w:p>
    <w:p w:rsidR="001A7925" w:rsidRDefault="00E14714">
      <w:pPr>
        <w:pStyle w:val="Bodytext0"/>
        <w:shd w:val="clear" w:color="auto" w:fill="auto"/>
        <w:spacing w:before="0"/>
        <w:ind w:left="40"/>
      </w:pPr>
      <w:r>
        <w:t>Poongodi</w:t>
      </w:r>
    </w:p>
    <w:p w:rsidR="001A7925" w:rsidRDefault="00E14714">
      <w:pPr>
        <w:pStyle w:val="Bodytext0"/>
        <w:shd w:val="clear" w:color="auto" w:fill="auto"/>
        <w:spacing w:before="0"/>
        <w:ind w:left="40"/>
      </w:pPr>
      <w:r>
        <w:t>Vs.</w:t>
      </w:r>
    </w:p>
    <w:p w:rsidR="008854A2" w:rsidRDefault="00E14714">
      <w:pPr>
        <w:pStyle w:val="Bodytext0"/>
        <w:shd w:val="clear" w:color="auto" w:fill="auto"/>
        <w:spacing w:before="0"/>
        <w:ind w:left="40"/>
      </w:pPr>
      <w:r>
        <w:t xml:space="preserve">Thangavel </w:t>
      </w:r>
    </w:p>
    <w:p w:rsidR="008854A2" w:rsidRDefault="00E14714">
      <w:pPr>
        <w:pStyle w:val="Bodytext0"/>
        <w:shd w:val="clear" w:color="auto" w:fill="auto"/>
        <w:spacing w:before="0"/>
        <w:ind w:left="40"/>
      </w:pPr>
      <w:r>
        <w:t xml:space="preserve">Crl.No.1542 of 2013 </w:t>
      </w:r>
    </w:p>
    <w:p w:rsidR="001A7925" w:rsidRDefault="00E14714">
      <w:pPr>
        <w:pStyle w:val="Bodytext0"/>
        <w:shd w:val="clear" w:color="auto" w:fill="auto"/>
        <w:spacing w:before="0"/>
        <w:ind w:left="40"/>
      </w:pPr>
      <w:r>
        <w:t>(Sudhansu Jyoti Mukhopadhaya and Ranjan Gogoi JJ.)</w:t>
      </w:r>
    </w:p>
    <w:p w:rsidR="001A7925" w:rsidRDefault="00E14714">
      <w:pPr>
        <w:pStyle w:val="Bodytext0"/>
        <w:shd w:val="clear" w:color="auto" w:fill="auto"/>
        <w:spacing w:before="0"/>
        <w:ind w:left="40"/>
      </w:pPr>
      <w:r>
        <w:t>27.09.2013</w:t>
      </w:r>
    </w:p>
    <w:p w:rsidR="001A7925" w:rsidRDefault="00E14714">
      <w:pPr>
        <w:pStyle w:val="Bodytext20"/>
        <w:shd w:val="clear" w:color="auto" w:fill="auto"/>
        <w:spacing w:after="0" w:line="643" w:lineRule="exact"/>
        <w:ind w:left="40"/>
      </w:pPr>
      <w:r>
        <w:t>JUDGMENT</w:t>
      </w:r>
    </w:p>
    <w:p w:rsidR="001A7925" w:rsidRDefault="008854A2">
      <w:pPr>
        <w:pStyle w:val="Bodytext20"/>
        <w:shd w:val="clear" w:color="auto" w:fill="auto"/>
        <w:spacing w:after="0" w:line="643" w:lineRule="exact"/>
        <w:ind w:left="20"/>
        <w:jc w:val="both"/>
      </w:pPr>
      <w:r>
        <w:t>Ranjan Gogoi, J.</w:t>
      </w:r>
    </w:p>
    <w:p w:rsidR="001A7925" w:rsidRDefault="00E14714">
      <w:pPr>
        <w:pStyle w:val="Bodytext0"/>
        <w:numPr>
          <w:ilvl w:val="0"/>
          <w:numId w:val="1"/>
        </w:numPr>
        <w:shd w:val="clear" w:color="auto" w:fill="auto"/>
        <w:spacing w:before="0"/>
        <w:ind w:left="20"/>
        <w:jc w:val="both"/>
      </w:pPr>
      <w:r>
        <w:t xml:space="preserve"> Delay condoned</w:t>
      </w:r>
      <w:r>
        <w:t>. Leave granted.</w:t>
      </w:r>
    </w:p>
    <w:p w:rsidR="001A7925" w:rsidRDefault="00E14714">
      <w:pPr>
        <w:pStyle w:val="Bodytext0"/>
        <w:numPr>
          <w:ilvl w:val="0"/>
          <w:numId w:val="1"/>
        </w:numPr>
        <w:shd w:val="clear" w:color="auto" w:fill="auto"/>
        <w:tabs>
          <w:tab w:val="right" w:pos="5684"/>
          <w:tab w:val="right" w:pos="9337"/>
        </w:tabs>
        <w:spacing w:before="0" w:line="317" w:lineRule="exact"/>
        <w:ind w:left="20" w:right="40"/>
        <w:jc w:val="both"/>
      </w:pPr>
      <w:r>
        <w:t xml:space="preserve"> The appellants are the wife and son of one Thangavel. By an order dated 12.01.1998 passed by the learned trial court each of the appellants have been granted maintenance @ Rs. 300/- per month w.e.f. 04.02.1993 i.e. date of filing of the application under </w:t>
      </w:r>
      <w:r>
        <w:t>Section 125 of the Code of Criminal Procedure (CrPC). As the respondent-husband had not complied with the order of payment, in a miscellaneous petition, i.e., C.M.P. No. 566/1998 filed by the appellant, the trial court by its order dated 21.07.1998 had sen</w:t>
      </w:r>
      <w:r>
        <w:t>tenced the respondent to imprisonment. The default in payment of maintenance was for the period 4.2.1993 to 4.2.1998. On 5.2.2002 another miscellaneous application (Crl.M.P. No.394/2002) was filed by the appellants claiming maintenance for the period 4.2.1</w:t>
      </w:r>
      <w:r>
        <w:t>993 to 5.2.2002. The same was allowed by the learned Magistrate on 31.12.2002 against which the respondent had filed Crl. R.C. No. 620/2003. The High Court by its order dated</w:t>
      </w:r>
    </w:p>
    <w:p w:rsidR="001A7925" w:rsidRDefault="00E14714">
      <w:pPr>
        <w:pStyle w:val="Bodytext0"/>
        <w:numPr>
          <w:ilvl w:val="0"/>
          <w:numId w:val="2"/>
        </w:numPr>
        <w:shd w:val="clear" w:color="auto" w:fill="auto"/>
        <w:tabs>
          <w:tab w:val="right" w:pos="5684"/>
          <w:tab w:val="right" w:pos="9337"/>
          <w:tab w:val="left" w:pos="1269"/>
        </w:tabs>
        <w:spacing w:before="0" w:after="346" w:line="317" w:lineRule="exact"/>
        <w:ind w:left="20" w:right="40"/>
        <w:jc w:val="both"/>
      </w:pPr>
      <w:r>
        <w:t>held that as Crl.M.P. No. 394/2002 was filed on 5.2.2002, under the first proviso to Section 125(3) CrPC, the appellants were entitled to claim arrears for the period of one year preceding the date of filing of the application i.e. from 4.2.2001 to 5.2.200</w:t>
      </w:r>
      <w:r>
        <w:t>2. Accordingly, the High Court directed the respondent (revision petitioner before it) to pay the arrears for the aforesaid period within two months failing which it was directed that an arrest warrant would be issued against the respondent and the sentenc</w:t>
      </w:r>
      <w:r>
        <w:t xml:space="preserve">e of imprisonment earlier imposed by the learned Magistrate would come into effect. As the aforesaid order of the High Court had </w:t>
      </w:r>
      <w:r>
        <w:rPr>
          <w:rStyle w:val="Bodytext11pt"/>
        </w:rPr>
        <w:t>Law Information Center</w:t>
      </w:r>
      <w:r>
        <w:rPr>
          <w:rStyle w:val="Bodytext11pt"/>
        </w:rPr>
        <w:tab/>
        <w:t>1</w:t>
      </w:r>
      <w:r>
        <w:rPr>
          <w:rStyle w:val="Bodytext11pt"/>
        </w:rPr>
        <w:tab/>
        <w:t xml:space="preserve">SpotLaw </w:t>
      </w:r>
      <w:r>
        <w:t>curtailed the entitlement of the appellants to maintenance to a period of one year prior to th</w:t>
      </w:r>
      <w:r>
        <w:t xml:space="preserve">e date of filing of the Crl. </w:t>
      </w:r>
      <w:r>
        <w:lastRenderedPageBreak/>
        <w:t>M.P. No. 394/2002, the appellants have filed this appeal.</w:t>
      </w:r>
    </w:p>
    <w:p w:rsidR="001A7925" w:rsidRDefault="00E14714">
      <w:pPr>
        <w:pStyle w:val="Bodytext0"/>
        <w:numPr>
          <w:ilvl w:val="0"/>
          <w:numId w:val="1"/>
        </w:numPr>
        <w:shd w:val="clear" w:color="auto" w:fill="auto"/>
        <w:spacing w:before="0" w:after="313" w:line="260" w:lineRule="exact"/>
        <w:ind w:left="20"/>
        <w:jc w:val="both"/>
      </w:pPr>
      <w:r>
        <w:t xml:space="preserve"> We have heard learned counsel for the parties.</w:t>
      </w:r>
    </w:p>
    <w:p w:rsidR="001A7925" w:rsidRDefault="00E14714">
      <w:pPr>
        <w:pStyle w:val="Bodytext0"/>
        <w:numPr>
          <w:ilvl w:val="0"/>
          <w:numId w:val="1"/>
        </w:numPr>
        <w:shd w:val="clear" w:color="auto" w:fill="auto"/>
        <w:spacing w:before="0" w:after="300" w:line="322" w:lineRule="exact"/>
        <w:ind w:left="20" w:right="40"/>
        <w:jc w:val="both"/>
      </w:pPr>
      <w:r>
        <w:t xml:space="preserve"> A reading of the order dated 21.4.2004 passed by the High Court would go to show that the proviso to Section 125(3) CrPC</w:t>
      </w:r>
      <w:r>
        <w:t xml:space="preserve"> has been construed by the High Court to be a fetter on the entitlement of the claimants to receive arrears of maintenance beyond a period of one year preceding the date of filing of the application under Section 125(3) CrPC. Having considered the said pro</w:t>
      </w:r>
      <w:r>
        <w:t xml:space="preserve">vision of the Code we do not find that the same creates a bar or in any way effects the entitlement of a claimant to arrears of maintenance. What the proviso contemplates is that the procedure for recovery of maintenance under Section 125(3) CrPC, namely, </w:t>
      </w:r>
      <w:r>
        <w:t>by construing the same to be a levy of a fine and the detention of the defaulter in custody would not be available to a claimant who had slept over his/her rights and has not approached the Court within a period of one year commencing from the date on whic</w:t>
      </w:r>
      <w:r>
        <w:t>h the entitlement to receive maintenance has accrued. However, in such a situation the ordinary remedy to recover the amount of maintenance, namely, a civil action would still be available.</w:t>
      </w:r>
    </w:p>
    <w:p w:rsidR="001A7925" w:rsidRDefault="00E14714">
      <w:pPr>
        <w:pStyle w:val="Bodytext0"/>
        <w:numPr>
          <w:ilvl w:val="0"/>
          <w:numId w:val="1"/>
        </w:numPr>
        <w:shd w:val="clear" w:color="auto" w:fill="auto"/>
        <w:spacing w:before="0" w:after="304" w:line="322" w:lineRule="exact"/>
        <w:ind w:left="20" w:right="40"/>
        <w:jc w:val="both"/>
      </w:pPr>
      <w:r>
        <w:t xml:space="preserve"> The decision of this Court in Kuldip Kaur v. Surinder Singh and A</w:t>
      </w:r>
      <w:r>
        <w:t>nr.[1] may be usefully recalled wherein this Court has held the provision of sentencing under Section 125 (3) to be a “mode of enforcement” as distinguished from the “mode of satisfaction” of the liability which can only be by means of actual payment. Para</w:t>
      </w:r>
      <w:r>
        <w:t>graph 6 of the report to the above effect, namely, that the mode of enforcement i.e. sentencing to custody does not extinguish the liability may be extracted below:</w:t>
      </w:r>
    </w:p>
    <w:p w:rsidR="001A7925" w:rsidRDefault="00E14714">
      <w:pPr>
        <w:pStyle w:val="Bodytext0"/>
        <w:shd w:val="clear" w:color="auto" w:fill="auto"/>
        <w:tabs>
          <w:tab w:val="left" w:pos="5593"/>
          <w:tab w:val="right" w:pos="9337"/>
        </w:tabs>
        <w:spacing w:before="0" w:line="317" w:lineRule="exact"/>
        <w:ind w:left="20" w:right="40" w:firstLine="720"/>
        <w:jc w:val="both"/>
        <w:sectPr w:rsidR="001A7925">
          <w:type w:val="continuous"/>
          <w:pgSz w:w="12240" w:h="15840"/>
          <w:pgMar w:top="1214" w:right="1416" w:bottom="1506" w:left="1421" w:header="0" w:footer="3" w:gutter="0"/>
          <w:cols w:space="720"/>
          <w:noEndnote/>
          <w:docGrid w:linePitch="360"/>
        </w:sectPr>
      </w:pPr>
      <w:r>
        <w:t>“6. A distinction has to be drawn between a mode of enforcing recovery on</w:t>
      </w:r>
      <w:r>
        <w:t xml:space="preserve"> the one hand and effecting actual recovery of the amount of monthly allowance which has fallen in arrears on the other. Sentencing a person to jail is a “mode of enforcement”. It is not a “mode of satisfaction” of the liability. The liability can be satis</w:t>
      </w:r>
      <w:r>
        <w:t xml:space="preserve">fied only by making actual payment of the arrears. The whole purpose of sending to jail is to oblige a person liable to pay the monthly allowance who refuses to comply with the order without sufficient cause, to obey the order and to make the payment. The </w:t>
      </w:r>
      <w:r>
        <w:t>purpose of sending him to jail is not to wipe out the liability which he has refused to discharge. Be it also realised that a person ordered to pay monthly allowance can be sent to jail only if he fails to pay monthly allowance “without sufficient cause” t</w:t>
      </w:r>
      <w:r>
        <w:t xml:space="preserve">o comply with the order. It would indeed be strange to </w:t>
      </w:r>
      <w:r>
        <w:rPr>
          <w:rStyle w:val="Bodytext11pt"/>
        </w:rPr>
        <w:t>Law Information Center</w:t>
      </w:r>
      <w:r>
        <w:rPr>
          <w:rStyle w:val="Bodytext11pt"/>
        </w:rPr>
        <w:tab/>
        <w:t>2</w:t>
      </w:r>
      <w:r>
        <w:rPr>
          <w:rStyle w:val="Bodytext11pt"/>
        </w:rPr>
        <w:tab/>
        <w:t>SpotLaw</w:t>
      </w:r>
    </w:p>
    <w:p w:rsidR="001A7925" w:rsidRDefault="00E14714">
      <w:pPr>
        <w:pStyle w:val="Bodytext0"/>
        <w:shd w:val="clear" w:color="auto" w:fill="auto"/>
        <w:spacing w:before="0" w:after="900" w:line="322" w:lineRule="exact"/>
        <w:ind w:left="740" w:right="40"/>
        <w:jc w:val="both"/>
      </w:pPr>
      <w:r>
        <w:t>hold that a person who “without reasonable cause” refuses to comply with the order of the court to maintain his neglected wife or child would be absolved of his liabili</w:t>
      </w:r>
      <w:r>
        <w:t>ty merely because he prefers to go to jail. A sentence of jail is no substitute for the recovery of the amount of monthly allowance which has fallen in arrears. Monthly allowance is paid in order to enable the wife and child to live by providing with the e</w:t>
      </w:r>
      <w:r>
        <w:t>ssential economic wherewithal. Neither the neglected wife nor the neglected child can live without funds for purchasing food and the essential articles to enable them to live. Instead of providing them with the funds, no useful purpose would be served by s</w:t>
      </w:r>
      <w:r>
        <w:t xml:space="preserve">ending the husband to jail. Sentencing to jail is the means for achieving the end of enforcing the order by recovering the amount of arrears. It is not a mode of discharging liability. The section does not say so. Parliament in its wisdom has not said so. </w:t>
      </w:r>
      <w:r>
        <w:t>Commonsense does not support such a construction. From where does the court draw inspiration for persuading itself that the liability arising under the order for maintenance would stand discharged upon an effort being made to recover it? The order for mont</w:t>
      </w:r>
      <w:r>
        <w:t>hly allowance can be discharged only upon the monthly allowance being recovered. The liability cannot be taken to have been discharged by sending the person liable to pay the monthly allowance, to jail. At the cost of repetition it may be stated that it is</w:t>
      </w:r>
      <w:r>
        <w:t xml:space="preserve"> only a mode or method of recovery and not a substitute for recovery. No other view is possible. That is the reason why we set aside the order under appeal and passed an order in the following terms:</w:t>
      </w:r>
    </w:p>
    <w:p w:rsidR="001A7925" w:rsidRDefault="00E14714">
      <w:pPr>
        <w:pStyle w:val="Bodytext0"/>
        <w:numPr>
          <w:ilvl w:val="0"/>
          <w:numId w:val="1"/>
        </w:numPr>
        <w:shd w:val="clear" w:color="auto" w:fill="auto"/>
        <w:spacing w:before="0" w:after="300" w:line="322" w:lineRule="exact"/>
        <w:ind w:left="20" w:right="40"/>
        <w:jc w:val="both"/>
      </w:pPr>
      <w:r>
        <w:t xml:space="preserve"> In another decision of this Court in Shantha alias Ushadevi and Another v. B.G. Shivananjappa[2] it has been held that the liability to pay maintenance under Section 125 CrPC is in the nature of a continuing liability. The nature of the right to receive m</w:t>
      </w:r>
      <w:r>
        <w:t>aintenance and the concomitant liability to pay was also noticed in a decision of this Court in Shahada Khatoon &amp; Ors. v. Amjad Ali &amp; Ors.[3]. Though in a slightly different context, the remedy to approach the court by means of successive applications unde</w:t>
      </w:r>
      <w:r>
        <w:t>r Section 125(3) CrPC highlighting the subsequent defaults in payment of maintenance was acknowledged by this Court in Shahada Khatoon (supra).</w:t>
      </w:r>
    </w:p>
    <w:p w:rsidR="001A7925" w:rsidRDefault="00E14714">
      <w:pPr>
        <w:pStyle w:val="Bodytext0"/>
        <w:numPr>
          <w:ilvl w:val="0"/>
          <w:numId w:val="1"/>
        </w:numPr>
        <w:shd w:val="clear" w:color="auto" w:fill="auto"/>
        <w:spacing w:before="0" w:after="300" w:line="322" w:lineRule="exact"/>
        <w:ind w:left="20" w:right="40"/>
        <w:jc w:val="both"/>
      </w:pPr>
      <w:r>
        <w:t xml:space="preserve"> The ratio of the decisions in the aforesaid cases squarely apply to the present case. The application dated 05.</w:t>
      </w:r>
      <w:r>
        <w:t>02.2002 filed by the appellants under Section 125(3) was in continuation of the earlier applications and for subsequent periods of default on the part of the Respondent. The first proviso to Section 125(3), therefore did not extinguish or limit the entitle</w:t>
      </w:r>
      <w:r>
        <w:t>ment of the appellants to the maintenance granted by the learned trial court, as has been held by the High Court.</w:t>
      </w:r>
    </w:p>
    <w:p w:rsidR="001A7925" w:rsidRDefault="00E14714">
      <w:pPr>
        <w:pStyle w:val="Bodytext0"/>
        <w:numPr>
          <w:ilvl w:val="0"/>
          <w:numId w:val="1"/>
        </w:numPr>
        <w:shd w:val="clear" w:color="auto" w:fill="auto"/>
        <w:tabs>
          <w:tab w:val="left" w:pos="358"/>
        </w:tabs>
        <w:spacing w:before="0" w:line="322" w:lineRule="exact"/>
        <w:ind w:left="20" w:right="40"/>
        <w:jc w:val="both"/>
      </w:pPr>
      <w:r>
        <w:t>In view of the above, we are left in no doubt that the order passed by the High Court needs to be interfered with by us which we accordingly d</w:t>
      </w:r>
      <w:r>
        <w:t>o. The order dated</w:t>
      </w:r>
    </w:p>
    <w:p w:rsidR="001A7925" w:rsidRDefault="00E14714">
      <w:pPr>
        <w:pStyle w:val="Bodytext0"/>
        <w:numPr>
          <w:ilvl w:val="0"/>
          <w:numId w:val="3"/>
        </w:numPr>
        <w:shd w:val="clear" w:color="auto" w:fill="auto"/>
        <w:tabs>
          <w:tab w:val="left" w:pos="1428"/>
        </w:tabs>
        <w:spacing w:before="0" w:after="600" w:line="322" w:lineRule="exact"/>
        <w:ind w:left="20" w:right="40"/>
        <w:jc w:val="both"/>
      </w:pPr>
      <w:r>
        <w:t>of the High Court is set aside and we now issue directions to the respondent to pay the entire arrears of maintenance due to the appellants commencing from the date of filing of the Maintenance Petition (M.C.No.1/1993) i.e. 4.2.1993 with</w:t>
      </w:r>
      <w:r>
        <w:t>in a period of six months and current maintenance commencing from the month of September, 2013 payable on or before 7th of October, 2013 and thereafter continue to pay the monthly maintenance on or before the 7th of each successive month. If the above orde</w:t>
      </w:r>
      <w:r>
        <w:t>r of this Court is not complied with by the Respondent, the learned Trial Court is directed to issue a warrant for the arrest of the respondent and ensure that the same is executed and the respondent taken into custody to suffer imprisonment as provided by</w:t>
      </w:r>
      <w:r>
        <w:t xml:space="preserve"> Section 125(3) CrPC. The appeal is allowed.</w:t>
      </w:r>
    </w:p>
    <w:p w:rsidR="001A7925" w:rsidRDefault="00E14714">
      <w:pPr>
        <w:pStyle w:val="Bodytext0"/>
        <w:numPr>
          <w:ilvl w:val="0"/>
          <w:numId w:val="4"/>
        </w:numPr>
        <w:shd w:val="clear" w:color="auto" w:fill="auto"/>
        <w:spacing w:before="0" w:line="322" w:lineRule="exact"/>
        <w:ind w:left="20"/>
        <w:jc w:val="both"/>
      </w:pPr>
      <w:r>
        <w:t xml:space="preserve"> (1989) 1 SCC 405</w:t>
      </w:r>
    </w:p>
    <w:p w:rsidR="001A7925" w:rsidRDefault="00E14714">
      <w:pPr>
        <w:pStyle w:val="Bodytext0"/>
        <w:numPr>
          <w:ilvl w:val="0"/>
          <w:numId w:val="4"/>
        </w:numPr>
        <w:shd w:val="clear" w:color="auto" w:fill="auto"/>
        <w:spacing w:before="0" w:line="322" w:lineRule="exact"/>
        <w:ind w:left="20"/>
        <w:jc w:val="both"/>
      </w:pPr>
      <w:r>
        <w:t xml:space="preserve"> (2005) 4 SCC 468</w:t>
      </w:r>
    </w:p>
    <w:p w:rsidR="001A7925" w:rsidRDefault="00E14714">
      <w:pPr>
        <w:pStyle w:val="Bodytext0"/>
        <w:numPr>
          <w:ilvl w:val="0"/>
          <w:numId w:val="4"/>
        </w:numPr>
        <w:shd w:val="clear" w:color="auto" w:fill="auto"/>
        <w:spacing w:before="0" w:line="322" w:lineRule="exact"/>
        <w:ind w:left="20"/>
        <w:jc w:val="both"/>
      </w:pPr>
      <w:r>
        <w:t xml:space="preserve"> (1999) 5 SCC 672</w:t>
      </w:r>
    </w:p>
    <w:sectPr w:rsidR="001A7925" w:rsidSect="001A7925">
      <w:footerReference w:type="default" r:id="rId7"/>
      <w:pgSz w:w="12240" w:h="15840"/>
      <w:pgMar w:top="1214" w:right="1416" w:bottom="150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714" w:rsidRDefault="00E14714" w:rsidP="001A7925">
      <w:r>
        <w:separator/>
      </w:r>
    </w:p>
  </w:endnote>
  <w:endnote w:type="continuationSeparator" w:id="1">
    <w:p w:rsidR="00E14714" w:rsidRDefault="00E14714" w:rsidP="001A7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25" w:rsidRDefault="001A7925">
    <w:pPr>
      <w:rPr>
        <w:sz w:val="2"/>
        <w:szCs w:val="2"/>
      </w:rPr>
    </w:pPr>
    <w:r w:rsidRPr="001A7925">
      <w:pict>
        <v:shapetype id="_x0000_t202" coordsize="21600,21600" o:spt="202" path="m,l,21600r21600,l21600,xe">
          <v:stroke joinstyle="miter"/>
          <v:path gradientshapeok="t" o:connecttype="rect"/>
        </v:shapetype>
        <v:shape id="_x0000_s1025" type="#_x0000_t202" style="position:absolute;margin-left:71.3pt;margin-top:721.15pt;width:465.85pt;height:11.05pt;z-index:-251658752;mso-wrap-distance-left:5pt;mso-wrap-distance-right:5pt;mso-position-horizontal-relative:page;mso-position-vertical-relative:page" wrapcoords="0 0" filled="f" stroked="f">
          <v:textbox style="mso-fit-shape-to-text:t" inset="0,0,0,0">
            <w:txbxContent>
              <w:p w:rsidR="001A7925" w:rsidRDefault="00E14714">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8854A2" w:rsidRPr="008854A2">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714" w:rsidRDefault="00E14714"/>
  </w:footnote>
  <w:footnote w:type="continuationSeparator" w:id="1">
    <w:p w:rsidR="00E14714" w:rsidRDefault="00E147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4403E"/>
    <w:multiLevelType w:val="multilevel"/>
    <w:tmpl w:val="9B988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E8267A"/>
    <w:multiLevelType w:val="multilevel"/>
    <w:tmpl w:val="AA262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75428B"/>
    <w:multiLevelType w:val="multilevel"/>
    <w:tmpl w:val="FEDCCFFC"/>
    <w:lvl w:ilvl="0">
      <w:start w:val="2004"/>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9062EE"/>
    <w:multiLevelType w:val="multilevel"/>
    <w:tmpl w:val="3D7C2A48"/>
    <w:lvl w:ilvl="0">
      <w:start w:val="2004"/>
      <w:numFmt w:val="decimal"/>
      <w:lvlText w:val="2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7925"/>
    <w:rsid w:val="001A7925"/>
    <w:rsid w:val="008854A2"/>
    <w:rsid w:val="00E14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9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7925"/>
    <w:rPr>
      <w:color w:val="0066CC"/>
      <w:u w:val="single"/>
    </w:rPr>
  </w:style>
  <w:style w:type="character" w:customStyle="1" w:styleId="Bodytext2">
    <w:name w:val="Body text (2)_"/>
    <w:basedOn w:val="DefaultParagraphFont"/>
    <w:link w:val="Bodytext20"/>
    <w:rsid w:val="001A792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A792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A7925"/>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A792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A7925"/>
    <w:rPr>
      <w:color w:val="000000"/>
      <w:spacing w:val="0"/>
      <w:w w:val="100"/>
      <w:position w:val="0"/>
      <w:lang w:val="en-US" w:eastAsia="en-US" w:bidi="en-US"/>
    </w:rPr>
  </w:style>
  <w:style w:type="paragraph" w:customStyle="1" w:styleId="Bodytext20">
    <w:name w:val="Body text (2)"/>
    <w:basedOn w:val="Normal"/>
    <w:link w:val="Bodytext2"/>
    <w:rsid w:val="001A792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A792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A792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6904</Characters>
  <Application>Microsoft Office Word</Application>
  <DocSecurity>0</DocSecurity>
  <Lines>172</Lines>
  <Paragraphs>130</Paragraphs>
  <ScaleCrop>false</ScaleCrop>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2017-06-23T12:53:00Z</dcterms:created>
  <dcterms:modified xsi:type="dcterms:W3CDTF">2017-06-23T12:53:00Z</dcterms:modified>
</cp:coreProperties>
</file>