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6EE" w:rsidRDefault="006645FE">
      <w:pPr>
        <w:pStyle w:val="Bodytext20"/>
        <w:shd w:val="clear" w:color="auto" w:fill="auto"/>
        <w:spacing w:after="52" w:line="280" w:lineRule="exact"/>
      </w:pPr>
      <w:r>
        <w:t>SUPREME COURT OF INDIA</w:t>
      </w:r>
    </w:p>
    <w:p w:rsidR="00787C5E" w:rsidRDefault="006645FE">
      <w:pPr>
        <w:pStyle w:val="Bodytext0"/>
        <w:shd w:val="clear" w:color="auto" w:fill="auto"/>
        <w:spacing w:before="0"/>
      </w:pPr>
      <w:r>
        <w:t xml:space="preserve">State of Rajasthan </w:t>
      </w:r>
    </w:p>
    <w:p w:rsidR="007E46EE" w:rsidRDefault="006645FE">
      <w:pPr>
        <w:pStyle w:val="Bodytext0"/>
        <w:shd w:val="clear" w:color="auto" w:fill="auto"/>
        <w:spacing w:before="0"/>
      </w:pPr>
      <w:r>
        <w:t>Vs.</w:t>
      </w:r>
    </w:p>
    <w:p w:rsidR="00787C5E" w:rsidRDefault="006645FE">
      <w:pPr>
        <w:pStyle w:val="Bodytext0"/>
        <w:shd w:val="clear" w:color="auto" w:fill="auto"/>
        <w:spacing w:before="0"/>
      </w:pPr>
      <w:r>
        <w:t xml:space="preserve">Ucchab Lal Chhanwal </w:t>
      </w:r>
    </w:p>
    <w:p w:rsidR="00787C5E" w:rsidRDefault="006645FE">
      <w:pPr>
        <w:pStyle w:val="Bodytext0"/>
        <w:shd w:val="clear" w:color="auto" w:fill="auto"/>
        <w:spacing w:before="0"/>
      </w:pPr>
      <w:r>
        <w:t>C.A.No.9544 of 2013</w:t>
      </w:r>
    </w:p>
    <w:p w:rsidR="007E46EE" w:rsidRDefault="006645FE">
      <w:pPr>
        <w:pStyle w:val="Bodytext0"/>
        <w:shd w:val="clear" w:color="auto" w:fill="auto"/>
        <w:spacing w:before="0"/>
      </w:pPr>
      <w:r>
        <w:t xml:space="preserve"> (Anil R. Dave and Dipak Misra JJ.)</w:t>
      </w:r>
    </w:p>
    <w:p w:rsidR="007E46EE" w:rsidRDefault="006645FE">
      <w:pPr>
        <w:pStyle w:val="Bodytext0"/>
        <w:shd w:val="clear" w:color="auto" w:fill="auto"/>
        <w:spacing w:before="0"/>
      </w:pPr>
      <w:r>
        <w:t>22.10.2013</w:t>
      </w:r>
    </w:p>
    <w:p w:rsidR="007E46EE" w:rsidRDefault="006645FE">
      <w:pPr>
        <w:pStyle w:val="Bodytext20"/>
        <w:shd w:val="clear" w:color="auto" w:fill="auto"/>
        <w:spacing w:after="0" w:line="643" w:lineRule="exact"/>
      </w:pPr>
      <w:r>
        <w:t>JUDGMENT</w:t>
      </w:r>
    </w:p>
    <w:p w:rsidR="007E46EE" w:rsidRDefault="006645FE">
      <w:pPr>
        <w:pStyle w:val="Bodytext20"/>
        <w:shd w:val="clear" w:color="auto" w:fill="auto"/>
        <w:spacing w:after="0" w:line="643" w:lineRule="exact"/>
        <w:ind w:left="40"/>
        <w:jc w:val="both"/>
      </w:pPr>
      <w:r>
        <w:t>DIPAK MISRA, J.</w:t>
      </w:r>
    </w:p>
    <w:p w:rsidR="007E46EE" w:rsidRDefault="006645FE">
      <w:pPr>
        <w:pStyle w:val="Bodytext0"/>
        <w:numPr>
          <w:ilvl w:val="0"/>
          <w:numId w:val="1"/>
        </w:numPr>
        <w:shd w:val="clear" w:color="auto" w:fill="auto"/>
        <w:spacing w:before="0"/>
        <w:ind w:left="40"/>
        <w:jc w:val="both"/>
      </w:pPr>
      <w:r>
        <w:t xml:space="preserve"> Leave granted in both the special leave petitions.</w:t>
      </w:r>
    </w:p>
    <w:p w:rsidR="007E46EE" w:rsidRDefault="006645FE">
      <w:pPr>
        <w:pStyle w:val="Bodytext0"/>
        <w:numPr>
          <w:ilvl w:val="0"/>
          <w:numId w:val="1"/>
        </w:numPr>
        <w:shd w:val="clear" w:color="auto" w:fill="auto"/>
        <w:spacing w:before="0" w:after="300" w:line="322" w:lineRule="exact"/>
        <w:ind w:left="40" w:right="40"/>
        <w:jc w:val="both"/>
      </w:pPr>
      <w:r>
        <w:t xml:space="preserve"> Regard being had to the identic issue involved in both the appeals they were heard together and are disposed of by a common judgment. For the sake of convenience the facts from the appeal arising out of S.L.P. (C) No. 21202 of 2011 are adumbrated herein.</w:t>
      </w:r>
    </w:p>
    <w:p w:rsidR="007E46EE" w:rsidRDefault="006645FE">
      <w:pPr>
        <w:pStyle w:val="Bodytext0"/>
        <w:numPr>
          <w:ilvl w:val="0"/>
          <w:numId w:val="1"/>
        </w:numPr>
        <w:shd w:val="clear" w:color="auto" w:fill="auto"/>
        <w:spacing w:before="0" w:line="322" w:lineRule="exact"/>
        <w:ind w:left="40" w:right="40"/>
        <w:jc w:val="both"/>
      </w:pPr>
      <w:r>
        <w:t xml:space="preserve"> The respondent was appointed in Rajasthan Police Service (Junior Scale) after his selection through Rajasthan Public Service Commission (for short “the Commission”) vide order dated 19.10.1989. As stipulated in Rajasthan Police Service Rules, 1954 (for sh</w:t>
      </w:r>
      <w:r>
        <w:t>ort “the Rules”) the R.P.S. cadre is divided into four categories and the lowest category is in the junior scale. The persons from the junior Scale are promoted to senior scale and thereafter to super time scale. The Rules provide that the person who has s</w:t>
      </w:r>
      <w:r>
        <w:t>ix years experience in junior scale becomes eligible for consideration to senior scale. A seniority list was published on 19.8.1997 wherein the name of the respondent found place at serial number 51 in junior scale. In respect of vacancies in the promotion</w:t>
      </w:r>
      <w:r>
        <w:t>al posts arising against the quota of 1996-97 a Departmental Promotion Committee (DPC) was convened and on the basis of recommendations of the DPC persons junior to the respondent were promoted. It is apt to mention here that the criterion for promotion wa</w:t>
      </w:r>
      <w:r>
        <w:t>s seniority- cum-merit.</w:t>
      </w:r>
    </w:p>
    <w:p w:rsidR="007E46EE" w:rsidRDefault="006645FE">
      <w:pPr>
        <w:pStyle w:val="Bodytext0"/>
        <w:numPr>
          <w:ilvl w:val="0"/>
          <w:numId w:val="1"/>
        </w:numPr>
        <w:shd w:val="clear" w:color="auto" w:fill="auto"/>
        <w:spacing w:before="0" w:after="300" w:line="322" w:lineRule="exact"/>
        <w:ind w:left="40" w:right="20"/>
        <w:jc w:val="both"/>
      </w:pPr>
      <w:r>
        <w:t xml:space="preserve"> Be it noted, the DPC though considered the case of the respondent, yet his case was not recommended for promotion for the vacancy occurring in 1996-97 as he was imposed with the punishment of censure on 1.12.1992. However, he was promoted thereafter in th</w:t>
      </w:r>
      <w:r>
        <w:t xml:space="preserve">e year 1998. In this backdrop the respondent approached the High Court </w:t>
      </w:r>
      <w:r>
        <w:lastRenderedPageBreak/>
        <w:t>by way of filing S.B. Civil Writ Petition No. 6574 of 1997 for quashing of the penalty of censure imposed on him on 1.12.1992 and further for setting aside the order dated 22.8.1997 whe</w:t>
      </w:r>
      <w:r>
        <w:t>reby he had been superseded and his juniors had been promoted. A prayer was made for issue of a direction to consider his candidature for promotion to the post of senior scale in Rajasthan Police Service and, if he was found suitable, to promote him with a</w:t>
      </w:r>
      <w:r>
        <w:t>ll consequential benefits.</w:t>
      </w:r>
    </w:p>
    <w:p w:rsidR="007E46EE" w:rsidRDefault="006645FE">
      <w:pPr>
        <w:pStyle w:val="Bodytext0"/>
        <w:numPr>
          <w:ilvl w:val="0"/>
          <w:numId w:val="1"/>
        </w:numPr>
        <w:shd w:val="clear" w:color="auto" w:fill="auto"/>
        <w:spacing w:before="0" w:after="300" w:line="322" w:lineRule="exact"/>
        <w:ind w:left="40" w:right="20"/>
        <w:jc w:val="both"/>
      </w:pPr>
      <w:r>
        <w:t xml:space="preserve"> The writ court vide order dated 5.3.2010 came to hold that the promotion of the respondent could not have been deferred as the seniority was required to be given more weightage over the merit as per the decision rendered in B.V.</w:t>
      </w:r>
      <w:r>
        <w:t xml:space="preserve"> Sivaiah and others v. K. Addanki Babu and others[1]. Being of this view the writ court allowed the writ petition and quashed the order dated 1.12.1992 as far as it denied promotion to the respondent to the senior scale against the vacancies of the year 19</w:t>
      </w:r>
      <w:r>
        <w:t>96-97 and directed that he was entitled to promotion to the senior scale against the vacancy of the year 1996- 97 with all consequential benefits.</w:t>
      </w:r>
    </w:p>
    <w:p w:rsidR="007E46EE" w:rsidRDefault="006645FE">
      <w:pPr>
        <w:pStyle w:val="Bodytext0"/>
        <w:numPr>
          <w:ilvl w:val="0"/>
          <w:numId w:val="1"/>
        </w:numPr>
        <w:shd w:val="clear" w:color="auto" w:fill="auto"/>
        <w:spacing w:before="0" w:line="322" w:lineRule="exact"/>
        <w:ind w:left="40" w:right="20"/>
        <w:jc w:val="both"/>
        <w:sectPr w:rsidR="007E46EE">
          <w:footerReference w:type="default" r:id="rId7"/>
          <w:type w:val="continuous"/>
          <w:pgSz w:w="12240" w:h="15840"/>
          <w:pgMar w:top="1210" w:right="1401" w:bottom="1502" w:left="1422" w:header="0" w:footer="3" w:gutter="0"/>
          <w:cols w:space="720"/>
          <w:noEndnote/>
          <w:docGrid w:linePitch="360"/>
        </w:sectPr>
      </w:pPr>
      <w:r>
        <w:t xml:space="preserve"> Being dissatisfied with the aforesaid order the State of Rajasthan preferred D.B. Civil Special Appeal (Writ) No. 08449 of 2010. In the appeal circular dated 26.7.2006 which sets out certain guidelines relating to the </w:t>
      </w:r>
      <w:r>
        <w:t>types of punishments and their impact/effect on promotion of a personnel as per which the respondent was found unfit to be promoted was pressed into service. The Division Bench vide judgment and order dated 11.11.2010 placing reliance on B.V. Sivaiah (supr</w:t>
      </w:r>
      <w:r>
        <w:t>a) and K. Samantaray v. National Insurance Co. Ltd.[2] and the decisions of the High Court of Rajasthan in Shankar Lal Balai v. State of Rajasthan and others[3], Satyamani Tiwari v. State of Rajasthan and others[4] and various other pronouncements of the H</w:t>
      </w:r>
      <w:r>
        <w:t>igh Court came to hold that the circular dated 26.7.2006 was not applicable as the controversy relating to promotion pertained to the year 1996-97. The High Court further observed that in case of promotion based on seniority- cum-merit the person who had b</w:t>
      </w:r>
      <w:r>
        <w:t>een inflicted with the penalty of censure which is a minor penalty, cannot be denied promotion without being considered and, in any case, it could not have taken into consideration in respect of the year 1996-97. Being of this view the Division Bench affir</w:t>
      </w:r>
      <w:r>
        <w:t>med the order passed by the learned single Judge.</w:t>
      </w:r>
    </w:p>
    <w:p w:rsidR="007E46EE" w:rsidRDefault="006645FE">
      <w:pPr>
        <w:pStyle w:val="Bodytext0"/>
        <w:numPr>
          <w:ilvl w:val="0"/>
          <w:numId w:val="1"/>
        </w:numPr>
        <w:shd w:val="clear" w:color="auto" w:fill="auto"/>
        <w:spacing w:before="0" w:after="300" w:line="322" w:lineRule="exact"/>
        <w:ind w:left="20" w:right="40"/>
        <w:jc w:val="both"/>
      </w:pPr>
      <w:r>
        <w:t xml:space="preserve"> We have heard Dr. Manish Singhvi, learned counsel appearing for the appellant in both the appeals, Ms. Sandhya Goswami, learned counsel for the respondent in appeal arising out of S.L.P. (C) No. 21202 of 2</w:t>
      </w:r>
      <w:r>
        <w:t>011, and Mr. Santosh Mishra, learned counsel for the respondent in appeal arising out of S.L.P. (C) No. 21201 of 2011.</w:t>
      </w:r>
    </w:p>
    <w:p w:rsidR="007E46EE" w:rsidRDefault="006645FE">
      <w:pPr>
        <w:pStyle w:val="Bodytext0"/>
        <w:numPr>
          <w:ilvl w:val="0"/>
          <w:numId w:val="1"/>
        </w:numPr>
        <w:shd w:val="clear" w:color="auto" w:fill="auto"/>
        <w:spacing w:before="0" w:after="304" w:line="322" w:lineRule="exact"/>
        <w:ind w:left="20" w:right="40"/>
        <w:jc w:val="both"/>
      </w:pPr>
      <w:r>
        <w:t xml:space="preserve"> It is submitted by Dr. Manish Singhvi, learned counsel for the appellant, that though the respondent was entitled to be considered for promotion but the principle relating to seniority-cum-merit would come into play when he is compared with other persons </w:t>
      </w:r>
      <w:r>
        <w:t>and in that event the punishment of censure has to be taken note of. It is his further contention that the punishment does not stand wiped off unless the Rules/instructions so provide. The learned counsel for the State has criticized the approach of the wr</w:t>
      </w:r>
      <w:r>
        <w:t>it court and that of the Division Bench on the ground that there has been incorrect appreciation of facts and the view expressed ignoring the distinction between consideration for promotion and suitability for promotion is legally unsustainable.</w:t>
      </w:r>
    </w:p>
    <w:p w:rsidR="007E46EE" w:rsidRDefault="006645FE">
      <w:pPr>
        <w:pStyle w:val="Bodytext0"/>
        <w:numPr>
          <w:ilvl w:val="0"/>
          <w:numId w:val="1"/>
        </w:numPr>
        <w:shd w:val="clear" w:color="auto" w:fill="auto"/>
        <w:spacing w:before="0" w:after="296" w:line="317" w:lineRule="exact"/>
        <w:ind w:left="20" w:right="40"/>
        <w:jc w:val="both"/>
      </w:pPr>
      <w:r>
        <w:t xml:space="preserve"> Learned c</w:t>
      </w:r>
      <w:r>
        <w:t>ounsel for the respondents in both the appeals submitted that censure which is a minor punishment cannot be an impediment for the entire service career and it has to be restricted to a specified period of time and when there is consideration on the base of</w:t>
      </w:r>
      <w:r>
        <w:t xml:space="preserve"> seniority-cum-merit, seniority has to be given due weightage. For the aforesaid purpose they pressed into service the decisions which have been relied upon by the High Court. It is also canvassed by them that the High Court has correctly opined that the c</w:t>
      </w:r>
      <w:r>
        <w:t>ircular cannot be made applicable retrospectively having been issued in the year 2006 to a promotional matter pertaining to the year 1996-97.</w:t>
      </w:r>
    </w:p>
    <w:p w:rsidR="007E46EE" w:rsidRDefault="006645FE">
      <w:pPr>
        <w:pStyle w:val="Bodytext0"/>
        <w:numPr>
          <w:ilvl w:val="0"/>
          <w:numId w:val="1"/>
        </w:numPr>
        <w:shd w:val="clear" w:color="auto" w:fill="auto"/>
        <w:spacing w:before="0" w:after="304" w:line="322" w:lineRule="exact"/>
        <w:ind w:left="20" w:right="40"/>
        <w:jc w:val="both"/>
      </w:pPr>
      <w:r>
        <w:t xml:space="preserve"> There can be no scintilla of doubt that the finding recorded by the High Court pertaining to the circular is abso</w:t>
      </w:r>
      <w:r>
        <w:t xml:space="preserve">lutely correct and unassailable. The said circular could not have been placed reliance upon by the State to contend that the respondents could have been deprived of promotion. However, the said circular is totally inconsequential for the present case, for </w:t>
      </w:r>
      <w:r>
        <w:t>what we are going to hold.</w:t>
      </w:r>
    </w:p>
    <w:p w:rsidR="007E46EE" w:rsidRDefault="006645FE">
      <w:pPr>
        <w:pStyle w:val="Bodytext0"/>
        <w:numPr>
          <w:ilvl w:val="0"/>
          <w:numId w:val="1"/>
        </w:numPr>
        <w:shd w:val="clear" w:color="auto" w:fill="auto"/>
        <w:tabs>
          <w:tab w:val="left" w:pos="5780"/>
          <w:tab w:val="right" w:pos="9337"/>
        </w:tabs>
        <w:spacing w:before="0" w:after="596" w:line="317" w:lineRule="exact"/>
        <w:ind w:left="20" w:right="40"/>
        <w:jc w:val="both"/>
      </w:pPr>
      <w:r>
        <w:t xml:space="preserve"> Though some argument was canvassed with regard to the relevance of the punishment of censure, yet the said aspect need not be adverted to. On a perusal of the writ petition, the order of the writ court and that of the Division B</w:t>
      </w:r>
      <w:r>
        <w:t>ench we notice that there were specific averments that juniors placed at serial numbers 9, 10 and 11 in gradation list had been promoted vide order dated 20.8.1997. They have not been arrayed as parties. Needless to emphasize, in the event the order passed</w:t>
      </w:r>
      <w:r>
        <w:t xml:space="preserve"> by the High Court is affirmed, the persons who are seniors to the respondents in </w:t>
      </w:r>
      <w:r>
        <w:rPr>
          <w:rStyle w:val="Bodytext11pt"/>
        </w:rPr>
        <w:t>Law Information Center</w:t>
      </w:r>
      <w:r>
        <w:rPr>
          <w:rStyle w:val="Bodytext11pt"/>
        </w:rPr>
        <w:tab/>
        <w:t>3</w:t>
      </w:r>
      <w:r>
        <w:rPr>
          <w:rStyle w:val="Bodytext11pt"/>
        </w:rPr>
        <w:tab/>
        <w:t xml:space="preserve">SpotLaw </w:t>
      </w:r>
      <w:r>
        <w:t xml:space="preserve">the promotional cadre are bound to become junior regard being had to their seniority position in the feeder cadre. It is well settled in law </w:t>
      </w:r>
      <w:r>
        <w:t>that no order can be passed behind the back of the person that shall adversely affect him. In this context, we may refer with profit to the decision in Vijay Kumar Kaul and others v. Union of India and others[5] wherein it has been held thus:-</w:t>
      </w:r>
    </w:p>
    <w:p w:rsidR="007E46EE" w:rsidRDefault="006645FE">
      <w:pPr>
        <w:pStyle w:val="Bodytext0"/>
        <w:shd w:val="clear" w:color="auto" w:fill="auto"/>
        <w:spacing w:before="0" w:after="300" w:line="322" w:lineRule="exact"/>
        <w:ind w:left="720" w:right="40"/>
        <w:jc w:val="both"/>
      </w:pPr>
      <w:r>
        <w:t>“Another asp</w:t>
      </w:r>
      <w:r>
        <w:t>ect needs to be highlighted. Neither before the Tribunal nor before the High Court, Parveen Kumar and others were arrayed as parties. There is no dispute over the factum that they are senior to the appellants and have been conferred the benefit of promotio</w:t>
      </w:r>
      <w:r>
        <w:t>n to the higher posts. In their absence, if any direction is issued for fixation of seniority, that is likely to jeopardise their interest. When they have not been impleaded as parties such a relief is difficult to grant.”</w:t>
      </w:r>
    </w:p>
    <w:p w:rsidR="007E46EE" w:rsidRDefault="006645FE">
      <w:pPr>
        <w:pStyle w:val="Bodytext0"/>
        <w:numPr>
          <w:ilvl w:val="0"/>
          <w:numId w:val="1"/>
        </w:numPr>
        <w:shd w:val="clear" w:color="auto" w:fill="auto"/>
        <w:spacing w:before="0" w:after="300" w:line="322" w:lineRule="exact"/>
        <w:ind w:left="20" w:right="40"/>
        <w:jc w:val="both"/>
      </w:pPr>
      <w:r>
        <w:t xml:space="preserve"> After so stating this Court refe</w:t>
      </w:r>
      <w:r>
        <w:t>rred to the decision in Indu Shekhar Singh v. State of U.P.[6] wherein it has been held thus: -</w:t>
      </w:r>
    </w:p>
    <w:p w:rsidR="007E46EE" w:rsidRDefault="006645FE">
      <w:pPr>
        <w:pStyle w:val="Bodytext0"/>
        <w:shd w:val="clear" w:color="auto" w:fill="auto"/>
        <w:spacing w:before="0" w:after="304" w:line="322" w:lineRule="exact"/>
        <w:ind w:left="720" w:right="40"/>
        <w:jc w:val="both"/>
      </w:pPr>
      <w:r>
        <w:t>“56. There is another aspect of the matter. The appellants herein were not joined as parties in the writ petition filed by the respondents. In their absence, th</w:t>
      </w:r>
      <w:r>
        <w:t>e High Court could not have determined the question of inter se seniority.”</w:t>
      </w:r>
    </w:p>
    <w:p w:rsidR="007E46EE" w:rsidRDefault="006645FE">
      <w:pPr>
        <w:pStyle w:val="Bodytext0"/>
        <w:numPr>
          <w:ilvl w:val="0"/>
          <w:numId w:val="1"/>
        </w:numPr>
        <w:shd w:val="clear" w:color="auto" w:fill="auto"/>
        <w:spacing w:before="0" w:after="296" w:line="317" w:lineRule="exact"/>
        <w:ind w:left="20" w:right="40"/>
        <w:jc w:val="both"/>
      </w:pPr>
      <w:r>
        <w:t xml:space="preserve"> In Public Service Commission v. Mamta Bisht[7] this Court while dealing with the concept of necessary parties and the effect of non- impleadment of such a party in the matter when the selection process is assailed observed thus: (SCC pp. 207</w:t>
      </w:r>
      <w:r>
        <w:softHyphen/>
        <w:t>08, paras 9-1</w:t>
      </w:r>
      <w:r>
        <w:t>0)</w:t>
      </w:r>
    </w:p>
    <w:p w:rsidR="007E46EE" w:rsidRDefault="006645FE">
      <w:pPr>
        <w:pStyle w:val="Bodytext0"/>
        <w:shd w:val="clear" w:color="auto" w:fill="auto"/>
        <w:spacing w:before="0" w:line="322" w:lineRule="exact"/>
        <w:ind w:left="720" w:right="40"/>
        <w:jc w:val="both"/>
      </w:pPr>
      <w:r>
        <w:t>“9. ... in Udit Narain Singh Malpaharia v. Board of Revenue[8], wherein the Court has explained the distinction between necessary party, proper party and pro forma party and further held that if a person who is likely to suffer from the order of the cou</w:t>
      </w:r>
      <w:r>
        <w:t>rt and has not been impleaded as a party has a right to ignore the said order as it has been passed in violation of the principles of natural justice. More so, proviso to Order 1 Rule 9 of the Code of Civil Procedure, 1908 (hereinafter called ‘CPC’) provid</w:t>
      </w:r>
      <w:r>
        <w:t xml:space="preserve">es that non-joinder of necessary party be fatal. Undoubtedly, provisions of CPC are not applicable in writ jurisdiction by virtue of the provision of Section 141 CPC but the principles enshrined therein are applicable. (Vide Gulabchand Chhotalal Parikh v. </w:t>
      </w:r>
      <w:r>
        <w:t>State of Gujarat[9], Babubhai Muljibhai Patel v. Nandlal Khodidas Barot[10] and Sarguja Transport Service v. STAT[11].)</w:t>
      </w:r>
    </w:p>
    <w:p w:rsidR="007E46EE" w:rsidRDefault="006645FE">
      <w:pPr>
        <w:pStyle w:val="Bodytext30"/>
        <w:shd w:val="clear" w:color="auto" w:fill="auto"/>
        <w:tabs>
          <w:tab w:val="left" w:pos="5775"/>
          <w:tab w:val="right" w:pos="9337"/>
        </w:tabs>
        <w:spacing w:line="220" w:lineRule="exact"/>
        <w:ind w:left="20"/>
      </w:pPr>
      <w:r>
        <w:t>Law Information Center</w:t>
      </w:r>
      <w:r>
        <w:tab/>
        <w:t>4</w:t>
      </w:r>
      <w:r>
        <w:tab/>
        <w:t>SpotLaw</w:t>
      </w:r>
    </w:p>
    <w:p w:rsidR="007E46EE" w:rsidRDefault="006645FE">
      <w:pPr>
        <w:pStyle w:val="Bodytext0"/>
        <w:numPr>
          <w:ilvl w:val="0"/>
          <w:numId w:val="2"/>
        </w:numPr>
        <w:shd w:val="clear" w:color="auto" w:fill="auto"/>
        <w:tabs>
          <w:tab w:val="left" w:pos="1216"/>
        </w:tabs>
        <w:spacing w:before="0" w:after="300" w:line="322" w:lineRule="exact"/>
        <w:ind w:left="740" w:right="20"/>
        <w:jc w:val="both"/>
      </w:pPr>
      <w:r>
        <w:t>In Prabodh Verma v. State of U.P.[12] and Tridip Kumar Dingal v. State of W.B.[13], it has been held th</w:t>
      </w:r>
      <w:r>
        <w:t>at if a person challenges the selection process, successful candidates or at least some of them are necessary parties.”</w:t>
      </w:r>
    </w:p>
    <w:p w:rsidR="007E46EE" w:rsidRDefault="006645FE">
      <w:pPr>
        <w:pStyle w:val="Bodytext0"/>
        <w:numPr>
          <w:ilvl w:val="0"/>
          <w:numId w:val="1"/>
        </w:numPr>
        <w:shd w:val="clear" w:color="auto" w:fill="auto"/>
        <w:spacing w:before="0" w:after="300" w:line="322" w:lineRule="exact"/>
        <w:ind w:left="20" w:right="20"/>
        <w:jc w:val="both"/>
      </w:pPr>
      <w:r>
        <w:t xml:space="preserve"> In J.S. Yadav v. State of Uttar Pradesh and another[14] it has been held as follows:-</w:t>
      </w:r>
    </w:p>
    <w:p w:rsidR="007E46EE" w:rsidRDefault="006645FE">
      <w:pPr>
        <w:pStyle w:val="Bodytext0"/>
        <w:shd w:val="clear" w:color="auto" w:fill="auto"/>
        <w:spacing w:before="0" w:after="300" w:line="322" w:lineRule="exact"/>
        <w:ind w:left="740" w:right="20"/>
        <w:jc w:val="both"/>
      </w:pPr>
      <w:r>
        <w:t>“No order can be passed behind the back of a pers</w:t>
      </w:r>
      <w:r>
        <w:t>on adversely affecting him and such an order if passed, is liable to be ignored being not binding on such a party as the same has been passed in violation of the principles of natural justice.”</w:t>
      </w:r>
    </w:p>
    <w:p w:rsidR="007E46EE" w:rsidRDefault="006645FE">
      <w:pPr>
        <w:pStyle w:val="Bodytext0"/>
        <w:numPr>
          <w:ilvl w:val="0"/>
          <w:numId w:val="1"/>
        </w:numPr>
        <w:shd w:val="clear" w:color="auto" w:fill="auto"/>
        <w:spacing w:before="0" w:after="300" w:line="322" w:lineRule="exact"/>
        <w:ind w:left="20" w:right="20"/>
        <w:jc w:val="both"/>
      </w:pPr>
      <w:r>
        <w:t xml:space="preserve"> In the case at hand the dispute relates to promotion which wi</w:t>
      </w:r>
      <w:r>
        <w:t xml:space="preserve">ll have impact on inter se seniority. The learned counsel for the respondents assiduously endeavoured to convince us that they are agitating the grievance with regard to their promotion and it has nothing to do with the persons junior to them who had been </w:t>
      </w:r>
      <w:r>
        <w:t>promoted. Despite the indefatigable effort, we are not persuaded to accept the aforesaid proponement, for once the respondents are promoted, the juniors who have been promoted earlier would become juniors in the promotional cadre, and they being not arraye</w:t>
      </w:r>
      <w:r>
        <w:t xml:space="preserve">d as parties in the lis, an adverse order cannot be passed against them as that would go against the basic tenet of the principles of natural justice. On this singular ground the directions issued by the writ court as well as the Division bench pertaining </w:t>
      </w:r>
      <w:r>
        <w:t>to grant of promotion to the respondents are quashed. To elaborate, as far as the conclusion of the High Court relating the circular is concerned, it is unexceptionable and we concur with the same.</w:t>
      </w:r>
    </w:p>
    <w:p w:rsidR="007E46EE" w:rsidRDefault="006645FE">
      <w:pPr>
        <w:pStyle w:val="Bodytext0"/>
        <w:numPr>
          <w:ilvl w:val="0"/>
          <w:numId w:val="1"/>
        </w:numPr>
        <w:shd w:val="clear" w:color="auto" w:fill="auto"/>
        <w:spacing w:before="0" w:after="604" w:line="322" w:lineRule="exact"/>
        <w:ind w:left="20" w:right="20"/>
        <w:jc w:val="both"/>
      </w:pPr>
      <w:r>
        <w:t xml:space="preserve"> Consequently, the appeals are allowed in part and the order passed by the Division Bench as well as by the writ court is set aside to the extent directions have been issued granting benefit of promotion to the respondents. In the facts and circumstances o</w:t>
      </w:r>
      <w:r>
        <w:t>f the case, there shall be no order as to costs.</w:t>
      </w:r>
    </w:p>
    <w:p w:rsidR="007E46EE" w:rsidRDefault="006645FE">
      <w:pPr>
        <w:pStyle w:val="Bodytext0"/>
        <w:numPr>
          <w:ilvl w:val="0"/>
          <w:numId w:val="3"/>
        </w:numPr>
        <w:shd w:val="clear" w:color="auto" w:fill="auto"/>
        <w:spacing w:before="0" w:line="317" w:lineRule="exact"/>
        <w:ind w:left="20"/>
        <w:jc w:val="both"/>
      </w:pPr>
      <w:r>
        <w:t xml:space="preserve"> (1998) 6 SCC 720</w:t>
      </w:r>
    </w:p>
    <w:p w:rsidR="007E46EE" w:rsidRDefault="006645FE">
      <w:pPr>
        <w:pStyle w:val="Bodytext0"/>
        <w:numPr>
          <w:ilvl w:val="0"/>
          <w:numId w:val="3"/>
        </w:numPr>
        <w:shd w:val="clear" w:color="auto" w:fill="auto"/>
        <w:spacing w:before="0" w:line="317" w:lineRule="exact"/>
        <w:ind w:left="20"/>
        <w:jc w:val="both"/>
      </w:pPr>
      <w:r>
        <w:t xml:space="preserve"> (2004) 9 SCC 286</w:t>
      </w:r>
    </w:p>
    <w:p w:rsidR="007E46EE" w:rsidRDefault="006645FE">
      <w:pPr>
        <w:pStyle w:val="Bodytext0"/>
        <w:numPr>
          <w:ilvl w:val="0"/>
          <w:numId w:val="3"/>
        </w:numPr>
        <w:shd w:val="clear" w:color="auto" w:fill="auto"/>
        <w:spacing w:before="0" w:line="317" w:lineRule="exact"/>
        <w:ind w:left="20"/>
        <w:jc w:val="both"/>
      </w:pPr>
      <w:r>
        <w:t xml:space="preserve"> 2009 (Raj.) unreported cases page 777</w:t>
      </w:r>
    </w:p>
    <w:p w:rsidR="007E46EE" w:rsidRDefault="006645FE">
      <w:pPr>
        <w:pStyle w:val="Bodytext0"/>
        <w:numPr>
          <w:ilvl w:val="0"/>
          <w:numId w:val="3"/>
        </w:numPr>
        <w:shd w:val="clear" w:color="auto" w:fill="auto"/>
        <w:spacing w:before="0" w:line="317" w:lineRule="exact"/>
        <w:ind w:left="20"/>
        <w:jc w:val="both"/>
      </w:pPr>
      <w:r>
        <w:t xml:space="preserve"> S.B.C.W.P.No. 2878/2003 decided on 11.8.2006 [5] (2012) 7 SCC 610</w:t>
      </w:r>
    </w:p>
    <w:p w:rsidR="007E46EE" w:rsidRDefault="006645FE">
      <w:pPr>
        <w:pStyle w:val="Bodytext0"/>
        <w:numPr>
          <w:ilvl w:val="0"/>
          <w:numId w:val="4"/>
        </w:numPr>
        <w:shd w:val="clear" w:color="auto" w:fill="auto"/>
        <w:spacing w:before="0" w:line="317" w:lineRule="exact"/>
        <w:ind w:left="20"/>
        <w:jc w:val="both"/>
      </w:pPr>
      <w:r>
        <w:t xml:space="preserve"> (2006) 8 SCC 129</w:t>
      </w:r>
    </w:p>
    <w:p w:rsidR="007E46EE" w:rsidRDefault="006645FE">
      <w:pPr>
        <w:pStyle w:val="Bodytext0"/>
        <w:numPr>
          <w:ilvl w:val="0"/>
          <w:numId w:val="4"/>
        </w:numPr>
        <w:shd w:val="clear" w:color="auto" w:fill="auto"/>
        <w:spacing w:before="0" w:line="317" w:lineRule="exact"/>
        <w:ind w:left="20"/>
        <w:jc w:val="both"/>
      </w:pPr>
      <w:r>
        <w:t xml:space="preserve"> (2010) 12 SCC 204</w:t>
      </w:r>
    </w:p>
    <w:p w:rsidR="007E46EE" w:rsidRDefault="006645FE">
      <w:pPr>
        <w:pStyle w:val="Bodytext30"/>
        <w:shd w:val="clear" w:color="auto" w:fill="auto"/>
        <w:tabs>
          <w:tab w:val="right" w:pos="5876"/>
          <w:tab w:val="right" w:pos="9337"/>
        </w:tabs>
        <w:spacing w:line="317" w:lineRule="exact"/>
        <w:ind w:left="20"/>
        <w:sectPr w:rsidR="007E46EE">
          <w:footerReference w:type="default" r:id="rId8"/>
          <w:pgSz w:w="12240" w:h="15840"/>
          <w:pgMar w:top="1210" w:right="1401" w:bottom="1502" w:left="1422" w:header="0" w:footer="3" w:gutter="0"/>
          <w:cols w:space="720"/>
          <w:noEndnote/>
          <w:docGrid w:linePitch="360"/>
        </w:sectPr>
      </w:pPr>
      <w:r>
        <w:t xml:space="preserve">Law </w:t>
      </w:r>
      <w:r>
        <w:t>Information Center</w:t>
      </w:r>
      <w:r>
        <w:tab/>
        <w:t>5</w:t>
      </w:r>
      <w:r>
        <w:tab/>
        <w:t>SpotLaw</w:t>
      </w:r>
    </w:p>
    <w:p w:rsidR="007E46EE" w:rsidRDefault="006645FE">
      <w:pPr>
        <w:pStyle w:val="Bodytext0"/>
        <w:numPr>
          <w:ilvl w:val="0"/>
          <w:numId w:val="4"/>
        </w:numPr>
        <w:shd w:val="clear" w:color="auto" w:fill="auto"/>
        <w:spacing w:before="0" w:line="322" w:lineRule="exact"/>
        <w:jc w:val="left"/>
      </w:pPr>
      <w:r>
        <w:t xml:space="preserve"> AIR 1963 SC 786</w:t>
      </w:r>
    </w:p>
    <w:p w:rsidR="007E46EE" w:rsidRDefault="006645FE">
      <w:pPr>
        <w:pStyle w:val="Bodytext0"/>
        <w:numPr>
          <w:ilvl w:val="0"/>
          <w:numId w:val="4"/>
        </w:numPr>
        <w:shd w:val="clear" w:color="auto" w:fill="auto"/>
        <w:spacing w:before="0" w:line="322" w:lineRule="exact"/>
        <w:jc w:val="left"/>
      </w:pPr>
      <w:r>
        <w:t xml:space="preserve"> AIR 1965 SC 1153</w:t>
      </w:r>
    </w:p>
    <w:p w:rsidR="007E46EE" w:rsidRDefault="006645FE">
      <w:pPr>
        <w:pStyle w:val="Bodytext0"/>
        <w:numPr>
          <w:ilvl w:val="0"/>
          <w:numId w:val="4"/>
        </w:numPr>
        <w:shd w:val="clear" w:color="auto" w:fill="auto"/>
        <w:spacing w:before="0" w:line="322" w:lineRule="exact"/>
        <w:jc w:val="left"/>
      </w:pPr>
      <w:r>
        <w:t xml:space="preserve"> (1974) 2 SCC 706</w:t>
      </w:r>
    </w:p>
    <w:p w:rsidR="007E46EE" w:rsidRDefault="006645FE">
      <w:pPr>
        <w:pStyle w:val="Bodytext0"/>
        <w:numPr>
          <w:ilvl w:val="0"/>
          <w:numId w:val="4"/>
        </w:numPr>
        <w:shd w:val="clear" w:color="auto" w:fill="auto"/>
        <w:spacing w:before="0" w:line="322" w:lineRule="exact"/>
        <w:jc w:val="left"/>
      </w:pPr>
      <w:r>
        <w:t xml:space="preserve"> (1987) 1 SCC 5</w:t>
      </w:r>
    </w:p>
    <w:p w:rsidR="007E46EE" w:rsidRDefault="006645FE">
      <w:pPr>
        <w:pStyle w:val="Bodytext0"/>
        <w:numPr>
          <w:ilvl w:val="0"/>
          <w:numId w:val="4"/>
        </w:numPr>
        <w:shd w:val="clear" w:color="auto" w:fill="auto"/>
        <w:spacing w:before="0" w:line="322" w:lineRule="exact"/>
        <w:jc w:val="left"/>
      </w:pPr>
      <w:r>
        <w:t xml:space="preserve"> (1984) 4 SCC 251</w:t>
      </w:r>
    </w:p>
    <w:p w:rsidR="007E46EE" w:rsidRDefault="006645FE">
      <w:pPr>
        <w:pStyle w:val="Bodytext0"/>
        <w:numPr>
          <w:ilvl w:val="0"/>
          <w:numId w:val="4"/>
        </w:numPr>
        <w:shd w:val="clear" w:color="auto" w:fill="auto"/>
        <w:spacing w:before="0" w:line="322" w:lineRule="exact"/>
        <w:jc w:val="left"/>
      </w:pPr>
      <w:r>
        <w:t xml:space="preserve"> (2009) 1 SCC 768</w:t>
      </w:r>
    </w:p>
    <w:p w:rsidR="007E46EE" w:rsidRDefault="006645FE">
      <w:pPr>
        <w:pStyle w:val="Bodytext0"/>
        <w:numPr>
          <w:ilvl w:val="0"/>
          <w:numId w:val="4"/>
        </w:numPr>
        <w:shd w:val="clear" w:color="auto" w:fill="auto"/>
        <w:spacing w:before="0" w:line="322" w:lineRule="exact"/>
        <w:jc w:val="left"/>
      </w:pPr>
      <w:r>
        <w:t xml:space="preserve"> (2011) 6 SCC 570</w:t>
      </w:r>
    </w:p>
    <w:sectPr w:rsidR="007E46EE" w:rsidSect="007E46EE">
      <w:footerReference w:type="default" r:id="rId9"/>
      <w:type w:val="continuous"/>
      <w:pgSz w:w="12240" w:h="15840"/>
      <w:pgMar w:top="1029" w:right="8201" w:bottom="11944"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5FE" w:rsidRDefault="006645FE" w:rsidP="007E46EE">
      <w:r>
        <w:separator/>
      </w:r>
    </w:p>
  </w:endnote>
  <w:endnote w:type="continuationSeparator" w:id="1">
    <w:p w:rsidR="006645FE" w:rsidRDefault="006645FE" w:rsidP="007E4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EE" w:rsidRDefault="007E46EE">
    <w:pPr>
      <w:rPr>
        <w:sz w:val="2"/>
        <w:szCs w:val="2"/>
      </w:rPr>
    </w:pPr>
    <w:r w:rsidRPr="007E46EE">
      <w:pict>
        <v:shapetype id="_x0000_t202" coordsize="21600,21600" o:spt="202" path="m,l,21600r21600,l21600,xe">
          <v:stroke joinstyle="miter"/>
          <v:path gradientshapeok="t" o:connecttype="rect"/>
        </v:shapetype>
        <v:shape id="_x0000_s1025" type="#_x0000_t202" style="position:absolute;margin-left:72.55pt;margin-top:738.05pt;width:465.85pt;height:11.05pt;z-index:-188744064;mso-wrap-distance-left:5pt;mso-wrap-distance-right:5pt;mso-position-horizontal-relative:page;mso-position-vertical-relative:page" wrapcoords="0 0" filled="f" stroked="f">
          <v:textbox style="mso-fit-shape-to-text:t" inset="0,0,0,0">
            <w:txbxContent>
              <w:p w:rsidR="007E46EE" w:rsidRDefault="006645FE">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Pr="006645F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EE" w:rsidRDefault="007E46E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EE" w:rsidRDefault="007E46EE">
    <w:pPr>
      <w:rPr>
        <w:sz w:val="2"/>
        <w:szCs w:val="2"/>
      </w:rPr>
    </w:pPr>
    <w:r w:rsidRPr="007E46EE">
      <w:pict>
        <v:shapetype id="_x0000_t202" coordsize="21600,21600" o:spt="202" path="m,l,21600r21600,l21600,xe">
          <v:stroke joinstyle="miter"/>
          <v:path gradientshapeok="t" o:connecttype="rect"/>
        </v:shapetype>
        <v:shape id="_x0000_s1026" type="#_x0000_t202" style="position:absolute;margin-left:72.55pt;margin-top:738.05pt;width:465.85pt;height:11.05pt;z-index:-188744063;mso-wrap-distance-left:5pt;mso-wrap-distance-right:5pt;mso-position-horizontal-relative:page;mso-position-vertical-relative:page" wrapcoords="0 0" filled="f" stroked="f">
          <v:textbox style="mso-fit-shape-to-text:t" inset="0,0,0,0">
            <w:txbxContent>
              <w:p w:rsidR="007E46EE" w:rsidRDefault="006645FE">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787C5E" w:rsidRPr="00787C5E">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5FE" w:rsidRDefault="006645FE"/>
  </w:footnote>
  <w:footnote w:type="continuationSeparator" w:id="1">
    <w:p w:rsidR="006645FE" w:rsidRDefault="006645F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2724B"/>
    <w:multiLevelType w:val="multilevel"/>
    <w:tmpl w:val="D514D67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5350C3"/>
    <w:multiLevelType w:val="multilevel"/>
    <w:tmpl w:val="0804F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BF1FD4"/>
    <w:multiLevelType w:val="multilevel"/>
    <w:tmpl w:val="614CF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355412"/>
    <w:multiLevelType w:val="multilevel"/>
    <w:tmpl w:val="1872179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E46EE"/>
    <w:rsid w:val="006645FE"/>
    <w:rsid w:val="00787C5E"/>
    <w:rsid w:val="007E4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46E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46EE"/>
    <w:rPr>
      <w:color w:val="0066CC"/>
      <w:u w:val="single"/>
    </w:rPr>
  </w:style>
  <w:style w:type="character" w:customStyle="1" w:styleId="Bodytext2">
    <w:name w:val="Body text (2)_"/>
    <w:basedOn w:val="DefaultParagraphFont"/>
    <w:link w:val="Bodytext20"/>
    <w:rsid w:val="007E46E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E46E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E46EE"/>
    <w:rPr>
      <w:color w:val="000000"/>
      <w:spacing w:val="0"/>
      <w:w w:val="100"/>
      <w:position w:val="0"/>
      <w:lang w:val="en-US" w:eastAsia="en-US" w:bidi="en-US"/>
    </w:rPr>
  </w:style>
  <w:style w:type="character" w:customStyle="1" w:styleId="Bodytext">
    <w:name w:val="Body text_"/>
    <w:basedOn w:val="DefaultParagraphFont"/>
    <w:link w:val="Bodytext0"/>
    <w:rsid w:val="007E46EE"/>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E46EE"/>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7E46EE"/>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7E46E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E46E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E46E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E46EE"/>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2017-06-24T08:17:00Z</dcterms:created>
  <dcterms:modified xsi:type="dcterms:W3CDTF">2017-06-24T08:17:00Z</dcterms:modified>
</cp:coreProperties>
</file>