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05E" w:rsidRDefault="00CE573F">
      <w:pPr>
        <w:pStyle w:val="Bodytext20"/>
        <w:shd w:val="clear" w:color="auto" w:fill="auto"/>
        <w:spacing w:after="47" w:line="280" w:lineRule="exact"/>
      </w:pPr>
      <w:r>
        <w:t>SUPREME COURT OF INDIA</w:t>
      </w:r>
    </w:p>
    <w:p w:rsidR="00FD3EDA" w:rsidRDefault="00CE573F">
      <w:pPr>
        <w:pStyle w:val="Bodytext0"/>
        <w:shd w:val="clear" w:color="auto" w:fill="auto"/>
        <w:spacing w:before="0"/>
      </w:pPr>
      <w:r>
        <w:t xml:space="preserve">Sudam Charan Dash </w:t>
      </w:r>
    </w:p>
    <w:p w:rsidR="0023105E" w:rsidRDefault="00CE573F">
      <w:pPr>
        <w:pStyle w:val="Bodytext0"/>
        <w:shd w:val="clear" w:color="auto" w:fill="auto"/>
        <w:spacing w:before="0"/>
      </w:pPr>
      <w:r>
        <w:t>Vs.</w:t>
      </w:r>
    </w:p>
    <w:p w:rsidR="00FD3EDA" w:rsidRDefault="00CE573F">
      <w:pPr>
        <w:pStyle w:val="Bodytext0"/>
        <w:shd w:val="clear" w:color="auto" w:fill="auto"/>
        <w:spacing w:before="0"/>
      </w:pPr>
      <w:r>
        <w:t xml:space="preserve">State of Orissa </w:t>
      </w:r>
    </w:p>
    <w:p w:rsidR="00FD3EDA" w:rsidRDefault="00CE573F">
      <w:pPr>
        <w:pStyle w:val="Bodytext0"/>
        <w:shd w:val="clear" w:color="auto" w:fill="auto"/>
        <w:spacing w:before="0"/>
      </w:pPr>
      <w:r>
        <w:t xml:space="preserve">Crl.A.No.1862 of 2013 </w:t>
      </w:r>
    </w:p>
    <w:p w:rsidR="0023105E" w:rsidRDefault="00CE573F">
      <w:pPr>
        <w:pStyle w:val="Bodytext0"/>
        <w:shd w:val="clear" w:color="auto" w:fill="auto"/>
        <w:spacing w:before="0"/>
      </w:pPr>
      <w:r>
        <w:t>(Ranjana Prakash Desai and Madan B.Lokur JJ.)</w:t>
      </w:r>
    </w:p>
    <w:p w:rsidR="00FD3EDA" w:rsidRDefault="00CE573F">
      <w:pPr>
        <w:pStyle w:val="Bodytext20"/>
        <w:shd w:val="clear" w:color="auto" w:fill="auto"/>
        <w:spacing w:after="0" w:line="643" w:lineRule="exact"/>
        <w:ind w:left="20" w:right="3880" w:firstLine="4040"/>
        <w:jc w:val="left"/>
      </w:pPr>
      <w:r>
        <w:rPr>
          <w:rStyle w:val="Bodytext213pt"/>
        </w:rPr>
        <w:t xml:space="preserve">25.10.2013 </w:t>
      </w:r>
      <w:r>
        <w:t>JUDGMENT</w:t>
      </w:r>
    </w:p>
    <w:p w:rsidR="0023105E" w:rsidRDefault="00CE573F" w:rsidP="00FD3EDA">
      <w:pPr>
        <w:pStyle w:val="Bodytext20"/>
        <w:shd w:val="clear" w:color="auto" w:fill="auto"/>
        <w:spacing w:after="0" w:line="643" w:lineRule="exact"/>
        <w:ind w:left="20" w:right="3880"/>
        <w:jc w:val="left"/>
      </w:pPr>
      <w:r>
        <w:t xml:space="preserve"> </w:t>
      </w:r>
      <w:r w:rsidR="00FD3EDA">
        <w:t>Ranjana Prakash Desai, J.</w:t>
      </w:r>
    </w:p>
    <w:p w:rsidR="0023105E" w:rsidRDefault="00CE573F">
      <w:pPr>
        <w:pStyle w:val="Bodytext0"/>
        <w:numPr>
          <w:ilvl w:val="0"/>
          <w:numId w:val="1"/>
        </w:numPr>
        <w:shd w:val="clear" w:color="auto" w:fill="auto"/>
        <w:spacing w:before="0"/>
        <w:ind w:left="20"/>
        <w:jc w:val="both"/>
      </w:pPr>
      <w:r>
        <w:t xml:space="preserve"> Leave granted.</w:t>
      </w:r>
    </w:p>
    <w:p w:rsidR="0023105E" w:rsidRDefault="00CE573F">
      <w:pPr>
        <w:pStyle w:val="Bodytext0"/>
        <w:numPr>
          <w:ilvl w:val="0"/>
          <w:numId w:val="1"/>
        </w:numPr>
        <w:shd w:val="clear" w:color="auto" w:fill="auto"/>
        <w:spacing w:before="0" w:line="322" w:lineRule="exact"/>
        <w:ind w:left="20" w:right="20"/>
        <w:jc w:val="both"/>
      </w:pPr>
      <w:r>
        <w:t xml:space="preserve"> The appellant’s son - Rajib Das was murdered on 5/1/2009 in a hotel. FIR was lodged in respect thereof on 6/1/2009. PS Case No. 4 of 2009 was registered. It is the appellant’s case that the police did not investigate the case properly. The appellant ultim</w:t>
      </w:r>
      <w:r>
        <w:t>ately filed a writ petition in the Orissa High Court. Thereafter, the investigation gained momentum. On 3/1/2013, non-bailable warrant was issued against Mr. Sweekar Nayak, who is respondent 2, by the SDJM, Rayagada. Respondent 2 preferred an application f</w:t>
      </w:r>
      <w:r>
        <w:t>or anticipatory bail in the Orissa High Court. The High Court disposed of the said application by the impugned order. We notice that in the impugned order, the High Court has made a categorical observation that considering the nature of the allegations mad</w:t>
      </w:r>
      <w:r>
        <w:t>e against respondent</w:t>
      </w:r>
    </w:p>
    <w:p w:rsidR="0023105E" w:rsidRDefault="00CE573F">
      <w:pPr>
        <w:pStyle w:val="Bodytext0"/>
        <w:numPr>
          <w:ilvl w:val="0"/>
          <w:numId w:val="2"/>
        </w:numPr>
        <w:shd w:val="clear" w:color="auto" w:fill="auto"/>
        <w:spacing w:before="0" w:after="308" w:line="322" w:lineRule="exact"/>
        <w:ind w:left="20" w:right="20"/>
        <w:jc w:val="both"/>
      </w:pPr>
      <w:r>
        <w:t xml:space="preserve"> it did not think it to be a fit case for grant of anticipatory bail. Surprisingly, however, the High Court gave a direction that in the event respondent 2 surrenders before the learned SDJM, Rayagada within four weeks and moves an app</w:t>
      </w:r>
      <w:r>
        <w:t>lication for bail, he shall be released on bail on such terms and conditions as the learned Magistrate deems fit and proper. Pursuant to this direction, respondent 2 surrendered before the learned Magistrate and was released on bail on 11/06/2013.</w:t>
      </w:r>
    </w:p>
    <w:p w:rsidR="0023105E" w:rsidRDefault="00CE573F">
      <w:pPr>
        <w:pStyle w:val="Bodytext0"/>
        <w:numPr>
          <w:ilvl w:val="0"/>
          <w:numId w:val="1"/>
        </w:numPr>
        <w:shd w:val="clear" w:color="auto" w:fill="auto"/>
        <w:tabs>
          <w:tab w:val="left" w:pos="5799"/>
          <w:tab w:val="right" w:pos="9337"/>
        </w:tabs>
        <w:spacing w:before="0" w:after="292" w:line="312" w:lineRule="exact"/>
        <w:ind w:left="20" w:right="20"/>
        <w:jc w:val="both"/>
      </w:pPr>
      <w:r>
        <w:t xml:space="preserve"> We are </w:t>
      </w:r>
      <w:r>
        <w:t xml:space="preserve">surprised at the direction issued by the High Court to the trial court to release respondent 2 on bail. When the High Court rejected the application for anticipatory bail, it was sufficient indication that the High Court thought it fit not </w:t>
      </w:r>
      <w:r>
        <w:rPr>
          <w:rStyle w:val="Bodytext11pt"/>
        </w:rPr>
        <w:t xml:space="preserve">Law Information </w:t>
      </w:r>
      <w:r>
        <w:rPr>
          <w:rStyle w:val="Bodytext11pt"/>
        </w:rPr>
        <w:t>Center</w:t>
      </w:r>
      <w:r>
        <w:rPr>
          <w:rStyle w:val="Bodytext11pt"/>
        </w:rPr>
        <w:tab/>
        <w:t>1</w:t>
      </w:r>
      <w:r>
        <w:rPr>
          <w:rStyle w:val="Bodytext11pt"/>
        </w:rPr>
        <w:tab/>
        <w:t xml:space="preserve">SpotLaw </w:t>
      </w:r>
      <w:r>
        <w:t xml:space="preserve">to put a fetter on the </w:t>
      </w:r>
      <w:r>
        <w:lastRenderedPageBreak/>
        <w:t>investigating agency’s power to arrest respondent 2. In such a situation, the investigating agency, if it so desired and if it thought that the custodial interrogation of respondent 2 was necessary, could have arrest</w:t>
      </w:r>
      <w:r>
        <w:t>ed him. Therefore, after rejecting the prayer for anticipatory bail, the High Court should not have negated its own order by directing that respondent 2 should be released on bail. This is contradiction in terms. It dilutes the order rejecting anticipatory</w:t>
      </w:r>
      <w:r>
        <w:t xml:space="preserve"> bail. Such order is not legally sound. It overlooks the scope and purport of Sections 438 and 439 of the Code of Criminal Procedure, 1973.</w:t>
      </w:r>
    </w:p>
    <w:p w:rsidR="0023105E" w:rsidRDefault="00CE573F">
      <w:pPr>
        <w:pStyle w:val="Bodytext0"/>
        <w:numPr>
          <w:ilvl w:val="0"/>
          <w:numId w:val="1"/>
        </w:numPr>
        <w:shd w:val="clear" w:color="auto" w:fill="auto"/>
        <w:tabs>
          <w:tab w:val="left" w:pos="356"/>
        </w:tabs>
        <w:spacing w:before="0" w:after="300" w:line="322" w:lineRule="exact"/>
        <w:ind w:left="20" w:right="40"/>
        <w:jc w:val="both"/>
      </w:pPr>
      <w:r>
        <w:t xml:space="preserve">In a similar situation in Rashmi Rekha Thatoi &amp; Anr. v. State of Orissa &amp; Ors.[1], this Court took a strong view of </w:t>
      </w:r>
      <w:r>
        <w:t>the matter and observed that such orders have no sanctity in law. Relevant observations of this Court could be quoted:</w:t>
      </w:r>
    </w:p>
    <w:p w:rsidR="0023105E" w:rsidRDefault="00CE573F">
      <w:pPr>
        <w:pStyle w:val="Bodytext0"/>
        <w:shd w:val="clear" w:color="auto" w:fill="auto"/>
        <w:spacing w:before="0" w:after="349" w:line="322" w:lineRule="exact"/>
        <w:ind w:left="740" w:right="40"/>
        <w:jc w:val="both"/>
      </w:pPr>
      <w:r>
        <w:t>“33. We have referred to the aforesaid pronouncements to highlight how the Constitution Bench in Gurbaksh Singh Sibbia v. State of Punjab</w:t>
      </w:r>
      <w:r>
        <w:t>,[2] had analysed and explained the intrinsic underlying concepts under Section 438 of the Code, the nature of orders to be passed while conferring the said privilege, the conditions that are imposable and the discretions to be used by the courts. On a rea</w:t>
      </w:r>
      <w:r>
        <w:t>ding of the said authoritative pronouncement and the principles that have been culled out in Savitri Agarwal v. State of Maharashtra[3] there is remotely no indication that the Court of Session or the High Court can pass an order that on surrendering of th</w:t>
      </w:r>
      <w:r>
        <w:t>e accused before the Magistrate he shall be released on bail on such terms and conditions as the learned Magistrate may deem fit and proper or the superior court would impose conditions for grant of bail on such surrender. When the High Court in categorica</w:t>
      </w:r>
      <w:r>
        <w:t>l terms has expressed the view that it is not inclined to grant anticipatory bail to the petitioner-accused it could not have issued such a direction which would tantamount to conferment of benefit by which the accused would be in a position to avoid arres</w:t>
      </w:r>
      <w:r>
        <w:t>t. It is in clear violation of the language employed in the statutory provision and in flagrant violation of the dictum laid down in Gurbaksh Singh Sibbia and the principles culled out in Savitri Agarwal”.</w:t>
      </w:r>
    </w:p>
    <w:p w:rsidR="0023105E" w:rsidRDefault="00CE573F">
      <w:pPr>
        <w:pStyle w:val="Bodytext0"/>
        <w:shd w:val="clear" w:color="auto" w:fill="auto"/>
        <w:spacing w:before="0" w:after="317" w:line="260" w:lineRule="exact"/>
        <w:ind w:left="20" w:firstLine="720"/>
        <w:jc w:val="both"/>
      </w:pPr>
      <w:r>
        <w:t xml:space="preserve">The operative portion of the order passed in that </w:t>
      </w:r>
      <w:r>
        <w:t>case reads as follows:</w:t>
      </w:r>
    </w:p>
    <w:p w:rsidR="0023105E" w:rsidRDefault="00CE573F">
      <w:pPr>
        <w:pStyle w:val="Bodytext0"/>
        <w:shd w:val="clear" w:color="auto" w:fill="auto"/>
        <w:tabs>
          <w:tab w:val="center" w:pos="5833"/>
          <w:tab w:val="right" w:pos="9337"/>
        </w:tabs>
        <w:spacing w:before="0" w:line="317" w:lineRule="exact"/>
        <w:ind w:left="20" w:right="40" w:firstLine="720"/>
        <w:jc w:val="both"/>
      </w:pPr>
      <w:r>
        <w:t>“Judging on the foundation of aforesaid well-settled principles, the irresistible conclusion is that the impugned orders directing enlargement of bail of the accused persons, namely, Uttam Das, Abhimanyu Das and Murlidhar Patra by th</w:t>
      </w:r>
      <w:r>
        <w:t xml:space="preserve">e Magistrate on their surrendering are wholly unsustainable and bound to founder and accordingly the said directions are </w:t>
      </w:r>
      <w:r>
        <w:rPr>
          <w:rStyle w:val="Bodytext11pt"/>
        </w:rPr>
        <w:t>Law Information Center</w:t>
      </w:r>
      <w:r>
        <w:rPr>
          <w:rStyle w:val="Bodytext11pt"/>
        </w:rPr>
        <w:tab/>
        <w:t>2</w:t>
      </w:r>
      <w:r>
        <w:rPr>
          <w:rStyle w:val="Bodytext11pt"/>
        </w:rPr>
        <w:tab/>
        <w:t>SpotLaw</w:t>
      </w:r>
      <w:r>
        <w:br w:type="page"/>
      </w:r>
    </w:p>
    <w:p w:rsidR="0023105E" w:rsidRDefault="00CE573F">
      <w:pPr>
        <w:pStyle w:val="Bodytext0"/>
        <w:shd w:val="clear" w:color="auto" w:fill="auto"/>
        <w:spacing w:before="0" w:after="300" w:line="322" w:lineRule="exact"/>
        <w:ind w:left="740" w:right="20"/>
        <w:jc w:val="both"/>
      </w:pPr>
      <w:r>
        <w:t>set aside. Consequently, the bail bonds of the aforenamed accused persons are cancelled and they shal</w:t>
      </w:r>
      <w:r>
        <w:t>l be taken into custody forthwith. It needs no special emphasis to state that they are entitled to move applications for grant of bail under Section 439 of the Code which shall be considered on their own merits.”</w:t>
      </w:r>
    </w:p>
    <w:p w:rsidR="0023105E" w:rsidRDefault="00CE573F">
      <w:pPr>
        <w:pStyle w:val="Bodytext0"/>
        <w:numPr>
          <w:ilvl w:val="0"/>
          <w:numId w:val="1"/>
        </w:numPr>
        <w:shd w:val="clear" w:color="auto" w:fill="auto"/>
        <w:spacing w:before="0" w:after="349" w:line="322" w:lineRule="exact"/>
        <w:ind w:left="20" w:right="20"/>
        <w:jc w:val="both"/>
      </w:pPr>
      <w:r>
        <w:t xml:space="preserve"> We respectfully agree with these observati</w:t>
      </w:r>
      <w:r>
        <w:t>ons. We also feel that such orders put restriction on the power of the trial court to consider the bail application on merits and grant or reject prayer for bail. We are of the opinion that such orders should never be passed.</w:t>
      </w:r>
    </w:p>
    <w:p w:rsidR="0023105E" w:rsidRDefault="00CE573F">
      <w:pPr>
        <w:pStyle w:val="Bodytext0"/>
        <w:numPr>
          <w:ilvl w:val="0"/>
          <w:numId w:val="1"/>
        </w:numPr>
        <w:shd w:val="clear" w:color="auto" w:fill="auto"/>
        <w:spacing w:before="0" w:after="313" w:line="260" w:lineRule="exact"/>
        <w:ind w:left="20"/>
        <w:jc w:val="both"/>
      </w:pPr>
      <w:r>
        <w:t xml:space="preserve"> In the circumstances, we set aside the impugned order.</w:t>
      </w:r>
    </w:p>
    <w:p w:rsidR="0023105E" w:rsidRDefault="00CE573F">
      <w:pPr>
        <w:pStyle w:val="Bodytext0"/>
        <w:numPr>
          <w:ilvl w:val="0"/>
          <w:numId w:val="1"/>
        </w:numPr>
        <w:shd w:val="clear" w:color="auto" w:fill="auto"/>
        <w:spacing w:before="0" w:after="300" w:line="322" w:lineRule="exact"/>
        <w:ind w:left="20" w:right="20"/>
        <w:jc w:val="both"/>
      </w:pPr>
      <w:r>
        <w:t xml:space="preserve"> We have perused the order passed by the SDJM, Rayagada granting bail to respondent 2 pursuant to the impugned order. Obviously, the SDJM released respondent 2 on bail solely on the ground that the Hi</w:t>
      </w:r>
      <w:r>
        <w:t>gh Court had issued the above mentioned direction. The SDJM had no alternative but to do so. Thus, there is no consideration of the application for bail filed by respondent 2 on merits. We, therefore, quash the consequential order dated 11/6/2013 passed by</w:t>
      </w:r>
      <w:r>
        <w:t xml:space="preserve"> the SDJM, Rayagada. Ordinarily, we would have directed respondent 2 to surrender today. But, we refrain from giving any such direction. In the circumstances, if respondent 2 appears and surrenders before the SDJM, Rayagada on 29/10/2013 and prefers an app</w:t>
      </w:r>
      <w:r>
        <w:t>lication for bail, we direct the SDJM, Rayagada to decide respondent 2’s application on merits and in accordance with law. The appellant may remain present in the court and oppose the bail application if he so desires.</w:t>
      </w:r>
    </w:p>
    <w:p w:rsidR="0023105E" w:rsidRDefault="00CE573F">
      <w:pPr>
        <w:pStyle w:val="Bodytext0"/>
        <w:numPr>
          <w:ilvl w:val="0"/>
          <w:numId w:val="1"/>
        </w:numPr>
        <w:shd w:val="clear" w:color="auto" w:fill="auto"/>
        <w:spacing w:before="0" w:after="349" w:line="322" w:lineRule="exact"/>
        <w:ind w:left="20" w:right="20"/>
        <w:jc w:val="both"/>
      </w:pPr>
      <w:r>
        <w:t xml:space="preserve"> We direct the Registry of this Court</w:t>
      </w:r>
      <w:r>
        <w:t xml:space="preserve"> to forward a copy of this judgment to the Chief Justice of the Orissa High Court. We request the Chief Justice of Orissa High Court to circulate a copy of this order to the learned Judges of the Orissa High Court.</w:t>
      </w:r>
    </w:p>
    <w:p w:rsidR="0023105E" w:rsidRDefault="00CE573F">
      <w:pPr>
        <w:pStyle w:val="Bodytext0"/>
        <w:numPr>
          <w:ilvl w:val="0"/>
          <w:numId w:val="1"/>
        </w:numPr>
        <w:shd w:val="clear" w:color="auto" w:fill="auto"/>
        <w:spacing w:before="0" w:after="608" w:line="260" w:lineRule="exact"/>
        <w:ind w:left="20"/>
        <w:jc w:val="both"/>
      </w:pPr>
      <w:r>
        <w:t xml:space="preserve"> The appeal is disposed of in the aforest</w:t>
      </w:r>
      <w:r>
        <w:t>ated terms.</w:t>
      </w:r>
    </w:p>
    <w:p w:rsidR="0023105E" w:rsidRDefault="00CE573F">
      <w:pPr>
        <w:pStyle w:val="Bodytext0"/>
        <w:numPr>
          <w:ilvl w:val="0"/>
          <w:numId w:val="3"/>
        </w:numPr>
        <w:shd w:val="clear" w:color="auto" w:fill="auto"/>
        <w:spacing w:before="0" w:line="322" w:lineRule="exact"/>
        <w:ind w:left="20"/>
        <w:jc w:val="both"/>
      </w:pPr>
      <w:r>
        <w:t xml:space="preserve"> (2012) 5 SCC 690</w:t>
      </w:r>
    </w:p>
    <w:p w:rsidR="0023105E" w:rsidRDefault="00CE573F">
      <w:pPr>
        <w:pStyle w:val="Bodytext0"/>
        <w:numPr>
          <w:ilvl w:val="0"/>
          <w:numId w:val="3"/>
        </w:numPr>
        <w:shd w:val="clear" w:color="auto" w:fill="auto"/>
        <w:spacing w:before="0" w:line="322" w:lineRule="exact"/>
        <w:ind w:left="20"/>
        <w:jc w:val="both"/>
      </w:pPr>
      <w:r>
        <w:t xml:space="preserve"> (1980) 2 SCC 565</w:t>
      </w:r>
    </w:p>
    <w:p w:rsidR="0023105E" w:rsidRDefault="00CE573F">
      <w:pPr>
        <w:pStyle w:val="Bodytext0"/>
        <w:numPr>
          <w:ilvl w:val="0"/>
          <w:numId w:val="3"/>
        </w:numPr>
        <w:shd w:val="clear" w:color="auto" w:fill="auto"/>
        <w:spacing w:before="0" w:line="322" w:lineRule="exact"/>
        <w:ind w:left="20"/>
        <w:jc w:val="both"/>
        <w:sectPr w:rsidR="0023105E">
          <w:type w:val="continuous"/>
          <w:pgSz w:w="12240" w:h="15840"/>
          <w:pgMar w:top="1356" w:right="1409" w:bottom="1356" w:left="1428" w:header="0" w:footer="3" w:gutter="0"/>
          <w:cols w:space="720"/>
          <w:noEndnote/>
          <w:docGrid w:linePitch="360"/>
        </w:sectPr>
      </w:pPr>
      <w:r>
        <w:t xml:space="preserve"> (2009) 8 SCC 325</w:t>
      </w:r>
    </w:p>
    <w:p w:rsidR="0023105E" w:rsidRDefault="0023105E">
      <w:pPr>
        <w:spacing w:line="240" w:lineRule="exact"/>
        <w:rPr>
          <w:sz w:val="19"/>
          <w:szCs w:val="19"/>
        </w:rPr>
      </w:pPr>
    </w:p>
    <w:p w:rsidR="0023105E" w:rsidRDefault="0023105E">
      <w:pPr>
        <w:spacing w:line="240" w:lineRule="exact"/>
        <w:rPr>
          <w:sz w:val="19"/>
          <w:szCs w:val="19"/>
        </w:rPr>
      </w:pPr>
    </w:p>
    <w:p w:rsidR="0023105E" w:rsidRDefault="0023105E">
      <w:pPr>
        <w:spacing w:line="240" w:lineRule="exact"/>
        <w:rPr>
          <w:sz w:val="19"/>
          <w:szCs w:val="19"/>
        </w:rPr>
      </w:pPr>
    </w:p>
    <w:p w:rsidR="0023105E" w:rsidRDefault="0023105E">
      <w:pPr>
        <w:spacing w:before="31" w:after="31" w:line="240" w:lineRule="exact"/>
        <w:rPr>
          <w:sz w:val="19"/>
          <w:szCs w:val="19"/>
        </w:rPr>
      </w:pPr>
    </w:p>
    <w:p w:rsidR="0023105E" w:rsidRDefault="0023105E">
      <w:pPr>
        <w:rPr>
          <w:sz w:val="2"/>
          <w:szCs w:val="2"/>
        </w:rPr>
        <w:sectPr w:rsidR="0023105E">
          <w:type w:val="continuous"/>
          <w:pgSz w:w="12240" w:h="15840"/>
          <w:pgMar w:top="0" w:right="0" w:bottom="0" w:left="0" w:header="0" w:footer="3" w:gutter="0"/>
          <w:cols w:space="720"/>
          <w:noEndnote/>
          <w:docGrid w:linePitch="360"/>
        </w:sectPr>
      </w:pPr>
    </w:p>
    <w:p w:rsidR="0023105E" w:rsidRDefault="00CE573F">
      <w:pPr>
        <w:pStyle w:val="Bodytext30"/>
        <w:framePr w:h="216" w:wrap="around" w:vAnchor="text" w:hAnchor="margin" w:x="8390" w:y="6"/>
        <w:shd w:val="clear" w:color="auto" w:fill="auto"/>
        <w:spacing w:line="210" w:lineRule="exact"/>
        <w:ind w:left="100"/>
      </w:pPr>
      <w:r>
        <w:rPr>
          <w:rStyle w:val="Bodytext3Exact"/>
          <w:spacing w:val="0"/>
        </w:rPr>
        <w:t>SpotLaw</w:t>
      </w:r>
    </w:p>
    <w:p w:rsidR="0023105E" w:rsidRDefault="00CE573F">
      <w:pPr>
        <w:pStyle w:val="Bodytext30"/>
        <w:framePr w:h="210" w:wrap="around" w:vAnchor="text" w:hAnchor="margin" w:x="5683" w:y="1"/>
        <w:shd w:val="clear" w:color="auto" w:fill="auto"/>
        <w:spacing w:line="210" w:lineRule="exact"/>
        <w:ind w:left="100"/>
      </w:pPr>
      <w:r>
        <w:rPr>
          <w:rStyle w:val="Bodytext3Exact"/>
          <w:spacing w:val="0"/>
        </w:rPr>
        <w:t>3</w:t>
      </w:r>
    </w:p>
    <w:p w:rsidR="0023105E" w:rsidRDefault="00CE573F">
      <w:pPr>
        <w:pStyle w:val="Bodytext30"/>
        <w:shd w:val="clear" w:color="auto" w:fill="auto"/>
        <w:spacing w:line="220" w:lineRule="exact"/>
      </w:pPr>
      <w:r>
        <w:t>Law Information Center</w:t>
      </w:r>
    </w:p>
    <w:sectPr w:rsidR="0023105E" w:rsidSect="0023105E">
      <w:type w:val="continuous"/>
      <w:pgSz w:w="12240" w:h="15840"/>
      <w:pgMar w:top="1026" w:right="8206" w:bottom="1074"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73F" w:rsidRDefault="00CE573F" w:rsidP="0023105E">
      <w:r>
        <w:separator/>
      </w:r>
    </w:p>
  </w:endnote>
  <w:endnote w:type="continuationSeparator" w:id="1">
    <w:p w:rsidR="00CE573F" w:rsidRDefault="00CE573F" w:rsidP="00231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73F" w:rsidRDefault="00CE573F"/>
  </w:footnote>
  <w:footnote w:type="continuationSeparator" w:id="1">
    <w:p w:rsidR="00CE573F" w:rsidRDefault="00CE573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6F71"/>
    <w:multiLevelType w:val="multilevel"/>
    <w:tmpl w:val="15BC4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0729A9"/>
    <w:multiLevelType w:val="multilevel"/>
    <w:tmpl w:val="ED4298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EB4184"/>
    <w:multiLevelType w:val="multilevel"/>
    <w:tmpl w:val="2A02E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23105E"/>
    <w:rsid w:val="0023105E"/>
    <w:rsid w:val="00CE573F"/>
    <w:rsid w:val="00FD3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105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105E"/>
    <w:rPr>
      <w:color w:val="0066CC"/>
      <w:u w:val="single"/>
    </w:rPr>
  </w:style>
  <w:style w:type="character" w:customStyle="1" w:styleId="Bodytext2">
    <w:name w:val="Body text (2)_"/>
    <w:basedOn w:val="DefaultParagraphFont"/>
    <w:link w:val="Bodytext20"/>
    <w:rsid w:val="0023105E"/>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23105E"/>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23105E"/>
    <w:rPr>
      <w:b/>
      <w:bCs/>
      <w:color w:val="000000"/>
      <w:spacing w:val="0"/>
      <w:w w:val="100"/>
      <w:position w:val="0"/>
      <w:sz w:val="26"/>
      <w:szCs w:val="26"/>
      <w:lang w:val="en-US" w:eastAsia="en-US" w:bidi="en-US"/>
    </w:rPr>
  </w:style>
  <w:style w:type="character" w:customStyle="1" w:styleId="Bodytext11pt">
    <w:name w:val="Body text + 11 pt"/>
    <w:basedOn w:val="Bodytext"/>
    <w:rsid w:val="0023105E"/>
    <w:rPr>
      <w:color w:val="000000"/>
      <w:spacing w:val="0"/>
      <w:w w:val="100"/>
      <w:position w:val="0"/>
      <w:sz w:val="22"/>
      <w:szCs w:val="22"/>
      <w:lang w:val="en-US" w:eastAsia="en-US" w:bidi="en-US"/>
    </w:rPr>
  </w:style>
  <w:style w:type="character" w:customStyle="1" w:styleId="Bodytext3Exact">
    <w:name w:val="Body text (3) Exact"/>
    <w:basedOn w:val="DefaultParagraphFont"/>
    <w:rsid w:val="0023105E"/>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23105E"/>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23105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23105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23105E"/>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2017-06-24T08:02:00Z</dcterms:created>
  <dcterms:modified xsi:type="dcterms:W3CDTF">2017-06-24T08:03:00Z</dcterms:modified>
</cp:coreProperties>
</file>