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br/>
      </w:r>
      <w:r w:rsidRPr="00B84509">
        <w:rPr>
          <w:rFonts w:ascii="Times New Roman" w:eastAsia="Times New Roman" w:hAnsi="Times New Roman" w:cs="Times New Roman"/>
          <w:b/>
          <w:sz w:val="25"/>
          <w:szCs w:val="25"/>
        </w:rPr>
        <w:t>SUPREME COURT OF INDIA</w:t>
      </w:r>
    </w:p>
    <w:p w:rsidR="00B84509" w:rsidRP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>John K. Abraham</w:t>
      </w:r>
    </w:p>
    <w:p w:rsidR="00B84509" w:rsidRP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>Vs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4509" w:rsidRP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Simon C. Abraham </w:t>
      </w:r>
    </w:p>
    <w:p w:rsid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Crl.A.No.2043 o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f 2013</w:t>
      </w:r>
    </w:p>
    <w:p w:rsid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Surinder Singh Nijjar</w:t>
      </w:r>
      <w:r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 xml:space="preserve"> </w:t>
      </w:r>
      <w:r w:rsidRPr="00B84509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and Fakkir M.I.Kalifulla</w:t>
      </w:r>
      <w:r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, JJ.)</w:t>
      </w:r>
    </w:p>
    <w:p w:rsid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05.12.2013</w:t>
      </w:r>
    </w:p>
    <w:p w:rsidR="00B84509" w:rsidRP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JUDGMEN</w:t>
      </w:r>
      <w:r w:rsidRPr="00B84509">
        <w:rPr>
          <w:rFonts w:ascii="Times New Roman" w:eastAsia="Times New Roman" w:hAnsi="Times New Roman" w:cs="Times New Roman"/>
          <w:b/>
          <w:sz w:val="25"/>
          <w:szCs w:val="25"/>
        </w:rPr>
        <w:t>T</w:t>
      </w: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shd w:val="clear" w:color="auto" w:fill="FFFFFF"/>
        </w:rPr>
      </w:pPr>
      <w:r w:rsidRPr="00B84509"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>Fakkir M.I.Kalifulla, J.</w:t>
      </w: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Leave granted.</w:t>
      </w: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This appeal is directed against the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judgment  of  the  High  Court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Kerala at Ernakulam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dated  15th  December,  2010  passed  in  Criminal Appeal No.452 of 2004.</w:t>
      </w: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3. The issue involved in this appeal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arises under Section 138 of the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Negotiable Instruments Act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. The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complaint  was  preferred  by  the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respondent No.1 before the Chief Judicial  Magistrate,  Pathanamthitta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alleging that appellant borrowed a sum of Rs.1,50,000/- from  him  and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issued a cheque for  the  said  sum  on  20.06.2001  drawn  on  Indian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Overseas Bank, Plankamon branch in discharge of the debt.  It  is  the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further case of the respondent--complainant that when the  cheque  was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presented for encashment through Pathanamthitta District  Co-operative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Bank, Kozhencherry branch, the same was returned by the  bankers  with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endorsement ‘insufficient funds in the account  of  the  accused’.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The respondent-complainant stated to have issued a lawyer’s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notice on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14.07.2001, which was received by the appellant on 16.07.2001, but yet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there was no reply from the appellant. Based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on the above averments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alleged in the complaint, the case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was tried by the learned Chief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Judicial Magistrate.</w:t>
      </w:r>
    </w:p>
    <w:p w:rsid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4.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respondent herein was examined as PW.1 and Exhibits   P-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1 to P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-6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were marked. None was examined on the side of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the appellant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.  In  the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questioning of the appellant made under Section 313  of  Cr.P.C.,  the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appellant took the stand that his son took the  cheque  from  him  and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that if at all anything was to be recovered, it had to  be  made  from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son of the appellant, since the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appellant  had  not  borrowed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money.</w:t>
      </w:r>
    </w:p>
    <w:p w:rsid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D26EB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>5. The learned Chief Judicial Ma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gistrate after considering the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oral  and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documentary evidence led on behalf of the respondent-complainant, held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that the respondent-complainant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lastRenderedPageBreak/>
        <w:t>was making a  prevaricating  statement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as regards the issuance of the cheque, that he was not even  aware  of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date when the amount  was  said  to  have  been  borrowed  by  th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appellant, that there was material alteration in the  instrument  and,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therefore, the respondent failed to establish a case under Section 138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of t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he Negotiable Instruments Act. 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Consequently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, the learned Chief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Judicial Magistrate foun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d the appellant not guilty and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acquitted him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under Section 255(1) of Cr.P.C. The respondent preferred the appeal in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High Court of Kerala at Ernakulam and by the  impugned  order  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High Court  reversed  the  judgment  of  the  learned  Chief  Judicial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Magistrate, convicted the appellant and imposed the sentence to pay  a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fine of Rs.1,50,000/- as compensation under Section 357(1) of  Cr.P.C.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In default of making the payment of the fine amount, the appellant was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directed to suffer simple imprisonment for a period of three months.</w:t>
      </w:r>
    </w:p>
    <w:p w:rsidR="009D26EB" w:rsidRDefault="009D26EB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D26EB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6. We heard Mr. Romy Chacko, learned counsel for </w:t>
      </w:r>
      <w:r w:rsidR="009D26EB" w:rsidRPr="00B84509">
        <w:rPr>
          <w:rFonts w:ascii="Times New Roman" w:eastAsia="Times New Roman" w:hAnsi="Times New Roman" w:cs="Times New Roman"/>
          <w:sz w:val="25"/>
          <w:szCs w:val="25"/>
        </w:rPr>
        <w:t xml:space="preserve">the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appellant and Mr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.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Jogy Scaria, learned counsel for the 2nd respondent. </w:t>
      </w:r>
      <w:r w:rsidR="009D26EB" w:rsidRPr="00B84509">
        <w:rPr>
          <w:rFonts w:ascii="Times New Roman" w:eastAsia="Times New Roman" w:hAnsi="Times New Roman" w:cs="Times New Roman"/>
          <w:sz w:val="25"/>
          <w:szCs w:val="25"/>
        </w:rPr>
        <w:t>We also perused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the material papers placed before us, including </w:t>
      </w:r>
      <w:r w:rsidR="009D26EB" w:rsidRPr="00B84509">
        <w:rPr>
          <w:rFonts w:ascii="Times New Roman" w:eastAsia="Times New Roman" w:hAnsi="Times New Roman" w:cs="Times New Roman"/>
          <w:sz w:val="25"/>
          <w:szCs w:val="25"/>
        </w:rPr>
        <w:t xml:space="preserve">the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judgment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of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 xml:space="preserve"> 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trial Court as well as the High Court. Having considered the above, we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are of the view that the High Court was in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error in having reversed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judgment of the trial Court.</w:t>
      </w:r>
    </w:p>
    <w:p w:rsidR="009D26EB" w:rsidRDefault="009D26EB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D26EB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7. When we examine the case of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the respondent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-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complainant as projected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before the learned Chief Judicial Magistrate and the material evidence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placed before the trial Court, we find that the trial Court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had noted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certain vital defects in the case of the respondent-complainant.  Such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defects noted by the learned Chief Judicial Magistrate were as under:</w:t>
      </w:r>
    </w:p>
    <w:p w:rsidR="00C921CF" w:rsidRDefault="00C921CF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>a) Though the  respondent  as  PW-1  deposed  that  the  accused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received the money at his house also stated that he  did  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not remember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 the date when the said sum of Rs.1,50,000/- was paid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to him.</w:t>
      </w:r>
    </w:p>
    <w:p w:rsidR="009D26EB" w:rsidRPr="00B84509" w:rsidRDefault="009D26EB" w:rsidP="00C921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>b) As regards the source for advancing the sum of Rs.1,50,000/-,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respondent claimed that the same was from and out of  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sale consideration of his share in the family property, apart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from a sum of Rs.50,000/-, which he availed by  way  of  loan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from the co-operative society of the  college  where  he  was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employed. Though the respondent stated before the Court below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that he would be in a position to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produce the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documents in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support of the said stand, it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was noted that no documents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were placed before the Court below.</w:t>
      </w:r>
    </w:p>
    <w:p w:rsidR="009D26EB" w:rsidRPr="00B84509" w:rsidRDefault="009D26EB" w:rsidP="00C921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>c) In the course of  cross-examination,  the  respondent  stated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 that the cheque was signed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on the date when the  payment  was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made, nevertheless he stated that he was  not  aware  of  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date when he paid the sum of Rs.1,50,000/-.</w:t>
      </w:r>
    </w:p>
    <w:p w:rsidR="009D26EB" w:rsidRDefault="009D26EB" w:rsidP="00C921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Default="00B84509" w:rsidP="00C921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d)  According  to 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 the  respondent,  the  cheque  was  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in   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handwriting of the accused himself and the very  next  moment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he made a contradictory statement that the cheque was not  in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handwriting of the appellant and  that  he  (complainant)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wrote the same.</w:t>
      </w:r>
    </w:p>
    <w:p w:rsidR="009D26EB" w:rsidRPr="00B84509" w:rsidRDefault="009D26EB" w:rsidP="00C921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e) The respondent also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stated that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  the  amount  in  words  was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written by him.</w:t>
      </w:r>
    </w:p>
    <w:p w:rsidR="009D26EB" w:rsidRDefault="00B84509" w:rsidP="00C921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lastRenderedPageBreak/>
        <w:t>f) The trial Court has also noted that it was not  the  case  of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respondent that the writing in the cheque and filling  up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of  the  figures  were  with  the  consent  of  the   accused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appellant.</w:t>
      </w:r>
    </w:p>
    <w:p w:rsidR="009D26EB" w:rsidRDefault="009D26EB" w:rsidP="00C921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>8. In light of the  above  evidence,  which  was  lacking  in  very  many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material particulars, apart from the contradictions therein, the trial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Court held that t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he appellant was not guilty of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 offence  alleged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against under Section  138  of  the  Negotiable  Instruments  Act  and</w:t>
      </w:r>
    </w:p>
    <w:p w:rsidR="00B84509" w:rsidRDefault="00C921CF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a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cquitted</w:t>
      </w:r>
      <w:r w:rsidR="00B84509" w:rsidRPr="00B84509">
        <w:rPr>
          <w:rFonts w:ascii="Times New Roman" w:eastAsia="Times New Roman" w:hAnsi="Times New Roman" w:cs="Times New Roman"/>
          <w:sz w:val="25"/>
          <w:szCs w:val="25"/>
        </w:rPr>
        <w:t xml:space="preserve"> him.</w:t>
      </w:r>
    </w:p>
    <w:p w:rsidR="009D26EB" w:rsidRPr="00B84509" w:rsidRDefault="009D26EB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>9. Keeping the above factors  in  mind,  when  we  examine  the  judgment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impugned in this appeal, we find  that  the  High  Court  committed  a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serious illegality in reversing the judgment of learned Chief Judicial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Magistrate. While reversing the ju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dgment  of  the  trial  Court,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what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weighed with the learned Judge of the High Court was that in  the  313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questioning, it was not the case of the appellant that a blank  signed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cheque was handed over  to  his  son  and  that  even  in  the  cross-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examination it was not suggested to  PW-1  that  a  blank  cheque  was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issued. The High Court  was  also  persuaded  by  the  fact  that  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appellant failed to send any reply to the lawyer’s notice,  issued  by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the respondent. Based on the above conclusions,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the High Court held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that the presumption under Sections 118  and  139  of  the  Negotiable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Instruments Act could be easily drawn and that the appellant failed to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rebut the said presumption. On that single factor, the  learned  Judge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of the High Court  reversed  the  judgment  of  the  trial  Judge  and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convicted the appellant. It has to be stated that in order to draw 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presumption under Section 118 read along with 139  of  the  Negotiable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Instruments Act, the burden was heavily upon the complainant  to  have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shown that he had required funds for having advanced the money to  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accused; that the issuance of  the  cheque  in  support  of  the  said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payment advanced was true and that the accused was bound to  make  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payment as had been agreed while issuing the cheque in favour  of  the</w:t>
      </w:r>
    </w:p>
    <w:p w:rsidR="00B84509" w:rsidRDefault="009D26EB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omplainant</w:t>
      </w:r>
      <w:r w:rsidR="00B84509" w:rsidRPr="00B8450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9D26EB" w:rsidRPr="00B84509" w:rsidRDefault="009D26EB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>10. Keeping the said statutory requirements in mind, when we  examine  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facts as admitted by the respondent-complainant, as rightly  concluded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by the learned trial Judge, the respondent was not even aware  of  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date when substantial amount of Rs.1,50,000/- was advanced by  him  to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appellant, that he was not sure as to who wrote the  cheque,  that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he was not even aware when exactly and where exactly  the  transaction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took place for which the cheque came to be issued  by  the  appellant.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Apart from the said serious lacuna in the evidence of the complainant,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he further admitted as PW.1 by stating once in the course of the cross-examination that the cheque was in the handwriting of the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accused and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the very next moment taking a diametrically opposite stand that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it is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not in the handwriting of the accused and that it was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written by the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complainant himself, by further reiterating that the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amount in words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was written by him. We find that the various defects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in the evidence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of respondent, as noted by the trial Court, which we have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set out in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paragraph 7 of the judgment, were simply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brushed aside by the High</w:t>
      </w:r>
      <w:r w:rsidR="009D26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Court without assigning any valid reason. Such a serious lacuna in the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evidence of the complainant, which strikes at the root of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a complaint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under Section 138, having been noted by the learned trial Judge, which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factor was failed to be examined by the High Court while reversing the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judgment of the trial Court, in our considered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opinion would vitiate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ultimate conclusion reached by it. In effect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, the conclusion of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 xml:space="preserve">the learned Judge of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the High Court would </w:t>
      </w:r>
      <w:r w:rsidR="00C921CF" w:rsidRPr="00B84509">
        <w:rPr>
          <w:rFonts w:ascii="Times New Roman" w:eastAsia="Times New Roman" w:hAnsi="Times New Roman" w:cs="Times New Roman"/>
          <w:sz w:val="25"/>
          <w:szCs w:val="25"/>
        </w:rPr>
        <w:t>amount to a perverse one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and, therefore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, the said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judgment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of the High Court cannot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be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sustained.</w:t>
      </w: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84509">
        <w:rPr>
          <w:rFonts w:ascii="Times New Roman" w:eastAsia="Times New Roman" w:hAnsi="Times New Roman" w:cs="Times New Roman"/>
          <w:sz w:val="25"/>
          <w:szCs w:val="25"/>
        </w:rPr>
        <w:t>11. Having regard to our above conclusion, this appeal stands allowed. The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order impugned is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set-aside, the conviction and sentence imposed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on</w:t>
      </w:r>
      <w:r w:rsidR="00C921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84509">
        <w:rPr>
          <w:rFonts w:ascii="Times New Roman" w:eastAsia="Times New Roman" w:hAnsi="Times New Roman" w:cs="Times New Roman"/>
          <w:sz w:val="25"/>
          <w:szCs w:val="25"/>
        </w:rPr>
        <w:t>the appellant is also set aside.</w:t>
      </w: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4509" w:rsidRPr="00B84509" w:rsidRDefault="00B84509" w:rsidP="00C9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E51CB" w:rsidRPr="00B84509" w:rsidRDefault="005E51CB" w:rsidP="00C921C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5E51CB" w:rsidRPr="00B84509" w:rsidSect="005E51C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313" w:rsidRDefault="00891313" w:rsidP="00C921CF">
      <w:pPr>
        <w:spacing w:after="0" w:line="240" w:lineRule="auto"/>
      </w:pPr>
      <w:r>
        <w:separator/>
      </w:r>
    </w:p>
  </w:endnote>
  <w:endnote w:type="continuationSeparator" w:id="1">
    <w:p w:rsidR="00891313" w:rsidRDefault="00891313" w:rsidP="00C9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1CF" w:rsidRPr="00C921CF" w:rsidRDefault="00ED2116" w:rsidP="00C921CF">
    <w:pPr>
      <w:pStyle w:val="Footer"/>
      <w:tabs>
        <w:tab w:val="left" w:pos="8325"/>
      </w:tabs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9546973"/>
        <w:docPartObj>
          <w:docPartGallery w:val="Page Numbers (Bottom of Page)"/>
          <w:docPartUnique/>
        </w:docPartObj>
      </w:sdtPr>
      <w:sdtContent>
        <w:r w:rsidR="00C921CF" w:rsidRPr="00C921CF">
          <w:rPr>
            <w:rFonts w:ascii="Times New Roman" w:hAnsi="Times New Roman" w:cs="Times New Roman"/>
          </w:rPr>
          <w:tab/>
        </w:r>
        <w:r w:rsidRPr="00C921CF">
          <w:rPr>
            <w:rFonts w:ascii="Times New Roman" w:hAnsi="Times New Roman" w:cs="Times New Roman"/>
          </w:rPr>
          <w:fldChar w:fldCharType="begin"/>
        </w:r>
        <w:r w:rsidR="00C921CF" w:rsidRPr="00C921CF">
          <w:rPr>
            <w:rFonts w:ascii="Times New Roman" w:hAnsi="Times New Roman" w:cs="Times New Roman"/>
          </w:rPr>
          <w:instrText xml:space="preserve"> PAGE   \* MERGEFORMAT </w:instrText>
        </w:r>
        <w:r w:rsidRPr="00C921CF">
          <w:rPr>
            <w:rFonts w:ascii="Times New Roman" w:hAnsi="Times New Roman" w:cs="Times New Roman"/>
          </w:rPr>
          <w:fldChar w:fldCharType="separate"/>
        </w:r>
        <w:r w:rsidR="002E68EE">
          <w:rPr>
            <w:rFonts w:ascii="Times New Roman" w:hAnsi="Times New Roman" w:cs="Times New Roman"/>
            <w:noProof/>
          </w:rPr>
          <w:t>1</w:t>
        </w:r>
        <w:r w:rsidRPr="00C921CF">
          <w:rPr>
            <w:rFonts w:ascii="Times New Roman" w:hAnsi="Times New Roman" w:cs="Times New Roman"/>
          </w:rPr>
          <w:fldChar w:fldCharType="end"/>
        </w:r>
      </w:sdtContent>
    </w:sdt>
    <w:r w:rsidR="00C921CF" w:rsidRPr="00C921CF">
      <w:rPr>
        <w:rFonts w:ascii="Times New Roman" w:hAnsi="Times New Roman" w:cs="Times New Roman"/>
      </w:rPr>
      <w:tab/>
      <w:t>SpotLaw</w:t>
    </w:r>
  </w:p>
  <w:p w:rsidR="00C921CF" w:rsidRDefault="00C921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313" w:rsidRDefault="00891313" w:rsidP="00C921CF">
      <w:pPr>
        <w:spacing w:after="0" w:line="240" w:lineRule="auto"/>
      </w:pPr>
      <w:r>
        <w:separator/>
      </w:r>
    </w:p>
  </w:footnote>
  <w:footnote w:type="continuationSeparator" w:id="1">
    <w:p w:rsidR="00891313" w:rsidRDefault="00891313" w:rsidP="00C92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509"/>
    <w:rsid w:val="002E68EE"/>
    <w:rsid w:val="005E51CB"/>
    <w:rsid w:val="00891313"/>
    <w:rsid w:val="009D26EB"/>
    <w:rsid w:val="00B84509"/>
    <w:rsid w:val="00C921CF"/>
    <w:rsid w:val="00E06D18"/>
    <w:rsid w:val="00ED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5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2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1CF"/>
  </w:style>
  <w:style w:type="paragraph" w:styleId="Footer">
    <w:name w:val="footer"/>
    <w:basedOn w:val="Normal"/>
    <w:link w:val="FooterChar"/>
    <w:uiPriority w:val="99"/>
    <w:unhideWhenUsed/>
    <w:rsid w:val="00C92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2016-01-13T09:37:00Z</dcterms:created>
  <dcterms:modified xsi:type="dcterms:W3CDTF">2016-02-03T11:37:00Z</dcterms:modified>
</cp:coreProperties>
</file>