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6B" w:rsidRDefault="00AE7242" w:rsidP="00734CFE">
      <w:pPr>
        <w:pStyle w:val="Bodytext30"/>
        <w:shd w:val="clear" w:color="auto" w:fill="auto"/>
        <w:spacing w:before="0" w:after="0" w:line="240" w:lineRule="auto"/>
        <w:rPr>
          <w:rFonts w:ascii="Times New Roman" w:hAnsi="Times New Roman" w:cs="Times New Roman"/>
          <w:color w:val="auto"/>
          <w:sz w:val="25"/>
          <w:szCs w:val="25"/>
        </w:rPr>
      </w:pPr>
      <w:r w:rsidRPr="00E8636B">
        <w:rPr>
          <w:rFonts w:ascii="Times New Roman" w:hAnsi="Times New Roman" w:cs="Times New Roman"/>
          <w:color w:val="auto"/>
          <w:sz w:val="25"/>
          <w:szCs w:val="25"/>
        </w:rPr>
        <w:t>SUPREME COURT OF INDIA</w:t>
      </w:r>
    </w:p>
    <w:p w:rsidR="00734CFE" w:rsidRDefault="00734CFE" w:rsidP="00734CFE">
      <w:pPr>
        <w:pStyle w:val="Bodytext30"/>
        <w:shd w:val="clear" w:color="auto" w:fill="auto"/>
        <w:spacing w:before="0" w:after="0" w:line="240" w:lineRule="auto"/>
        <w:rPr>
          <w:rFonts w:ascii="Times New Roman" w:hAnsi="Times New Roman" w:cs="Times New Roman"/>
          <w:color w:val="auto"/>
          <w:sz w:val="25"/>
          <w:szCs w:val="25"/>
        </w:rPr>
      </w:pPr>
    </w:p>
    <w:p w:rsidR="00E8636B" w:rsidRDefault="00E8636B" w:rsidP="00734CFE">
      <w:pPr>
        <w:pStyle w:val="Bodytext30"/>
        <w:shd w:val="clear" w:color="auto" w:fill="auto"/>
        <w:spacing w:before="0" w:after="0" w:line="240" w:lineRule="auto"/>
        <w:rPr>
          <w:rFonts w:ascii="Times New Roman" w:hAnsi="Times New Roman" w:cs="Times New Roman"/>
          <w:b w:val="0"/>
          <w:color w:val="auto"/>
          <w:sz w:val="25"/>
          <w:szCs w:val="25"/>
        </w:rPr>
      </w:pPr>
      <w:r w:rsidRPr="00E8636B">
        <w:rPr>
          <w:rFonts w:ascii="Times New Roman" w:hAnsi="Times New Roman" w:cs="Times New Roman"/>
          <w:b w:val="0"/>
          <w:color w:val="auto"/>
          <w:sz w:val="25"/>
          <w:szCs w:val="25"/>
        </w:rPr>
        <w:t xml:space="preserve">Bank </w:t>
      </w:r>
      <w:r>
        <w:rPr>
          <w:rFonts w:ascii="Times New Roman" w:hAnsi="Times New Roman" w:cs="Times New Roman"/>
          <w:b w:val="0"/>
          <w:color w:val="auto"/>
          <w:sz w:val="25"/>
          <w:szCs w:val="25"/>
        </w:rPr>
        <w:t>of</w:t>
      </w:r>
      <w:r w:rsidRPr="00E8636B">
        <w:rPr>
          <w:rFonts w:ascii="Times New Roman" w:hAnsi="Times New Roman" w:cs="Times New Roman"/>
          <w:b w:val="0"/>
          <w:color w:val="auto"/>
          <w:sz w:val="25"/>
          <w:szCs w:val="25"/>
        </w:rPr>
        <w:t xml:space="preserve"> Baroda</w:t>
      </w:r>
    </w:p>
    <w:p w:rsidR="00B14698" w:rsidRPr="00E8636B" w:rsidRDefault="00B14698" w:rsidP="00734CFE">
      <w:pPr>
        <w:pStyle w:val="Bodytext30"/>
        <w:shd w:val="clear" w:color="auto" w:fill="auto"/>
        <w:spacing w:before="0" w:after="0" w:line="240" w:lineRule="auto"/>
        <w:rPr>
          <w:rFonts w:ascii="Times New Roman" w:hAnsi="Times New Roman" w:cs="Times New Roman"/>
          <w:b w:val="0"/>
          <w:color w:val="auto"/>
          <w:sz w:val="25"/>
          <w:szCs w:val="25"/>
        </w:rPr>
      </w:pPr>
    </w:p>
    <w:p w:rsidR="00B14698" w:rsidRDefault="00734CFE" w:rsidP="00734CFE">
      <w:pPr>
        <w:pStyle w:val="Bodytext30"/>
        <w:shd w:val="clear" w:color="auto" w:fill="auto"/>
        <w:spacing w:before="0" w:after="0" w:line="240" w:lineRule="auto"/>
        <w:rPr>
          <w:rFonts w:ascii="Times New Roman" w:hAnsi="Times New Roman" w:cs="Times New Roman"/>
          <w:b w:val="0"/>
          <w:color w:val="auto"/>
          <w:sz w:val="25"/>
          <w:szCs w:val="25"/>
        </w:rPr>
      </w:pPr>
      <w:r>
        <w:rPr>
          <w:rFonts w:ascii="Times New Roman" w:hAnsi="Times New Roman" w:cs="Times New Roman"/>
          <w:b w:val="0"/>
          <w:color w:val="auto"/>
          <w:sz w:val="25"/>
          <w:szCs w:val="25"/>
        </w:rPr>
        <w:t>V</w:t>
      </w:r>
      <w:r w:rsidR="00AE7242" w:rsidRPr="00E8636B">
        <w:rPr>
          <w:rFonts w:ascii="Times New Roman" w:hAnsi="Times New Roman" w:cs="Times New Roman"/>
          <w:b w:val="0"/>
          <w:color w:val="auto"/>
          <w:sz w:val="25"/>
          <w:szCs w:val="25"/>
        </w:rPr>
        <w:t>s</w:t>
      </w:r>
      <w:r>
        <w:rPr>
          <w:rFonts w:ascii="Times New Roman" w:hAnsi="Times New Roman" w:cs="Times New Roman"/>
          <w:b w:val="0"/>
          <w:color w:val="auto"/>
          <w:sz w:val="25"/>
          <w:szCs w:val="25"/>
        </w:rPr>
        <w:t>.</w:t>
      </w:r>
    </w:p>
    <w:p w:rsidR="00E8636B" w:rsidRDefault="00E8636B" w:rsidP="00734CFE">
      <w:pPr>
        <w:pStyle w:val="Bodytext30"/>
        <w:shd w:val="clear" w:color="auto" w:fill="auto"/>
        <w:spacing w:before="0" w:after="0" w:line="240" w:lineRule="auto"/>
        <w:rPr>
          <w:rFonts w:ascii="Times New Roman" w:hAnsi="Times New Roman" w:cs="Times New Roman"/>
          <w:b w:val="0"/>
          <w:color w:val="auto"/>
          <w:sz w:val="25"/>
          <w:szCs w:val="25"/>
        </w:rPr>
      </w:pPr>
    </w:p>
    <w:p w:rsidR="00E8636B" w:rsidRDefault="00E8636B" w:rsidP="00734CFE">
      <w:pPr>
        <w:pStyle w:val="Bodytext30"/>
        <w:shd w:val="clear" w:color="auto" w:fill="auto"/>
        <w:tabs>
          <w:tab w:val="left" w:pos="6313"/>
        </w:tabs>
        <w:spacing w:before="0" w:after="0" w:line="240" w:lineRule="auto"/>
        <w:ind w:left="20"/>
        <w:rPr>
          <w:rFonts w:ascii="Times New Roman" w:hAnsi="Times New Roman" w:cs="Times New Roman"/>
          <w:b w:val="0"/>
          <w:color w:val="auto"/>
          <w:sz w:val="25"/>
          <w:szCs w:val="25"/>
        </w:rPr>
      </w:pPr>
      <w:r w:rsidRPr="00E8636B">
        <w:rPr>
          <w:rFonts w:ascii="Times New Roman" w:hAnsi="Times New Roman" w:cs="Times New Roman"/>
          <w:b w:val="0"/>
          <w:color w:val="auto"/>
          <w:sz w:val="25"/>
          <w:szCs w:val="25"/>
        </w:rPr>
        <w:t>S.K. Kool</w:t>
      </w:r>
    </w:p>
    <w:p w:rsidR="00E8636B" w:rsidRDefault="00E8636B" w:rsidP="00734CFE">
      <w:pPr>
        <w:pStyle w:val="Bodytext30"/>
        <w:shd w:val="clear" w:color="auto" w:fill="auto"/>
        <w:tabs>
          <w:tab w:val="left" w:pos="6313"/>
        </w:tabs>
        <w:spacing w:before="0" w:after="0" w:line="240" w:lineRule="auto"/>
        <w:ind w:left="20"/>
        <w:rPr>
          <w:rFonts w:ascii="Times New Roman" w:hAnsi="Times New Roman" w:cs="Times New Roman"/>
          <w:b w:val="0"/>
          <w:color w:val="auto"/>
          <w:sz w:val="25"/>
          <w:szCs w:val="25"/>
        </w:rPr>
      </w:pPr>
    </w:p>
    <w:p w:rsidR="00E8636B" w:rsidRDefault="00E8636B" w:rsidP="00734CFE">
      <w:pPr>
        <w:pStyle w:val="Bodytext30"/>
        <w:shd w:val="clear" w:color="auto" w:fill="auto"/>
        <w:spacing w:before="0" w:after="0" w:line="240" w:lineRule="auto"/>
        <w:rPr>
          <w:rStyle w:val="Bodytext31"/>
          <w:rFonts w:ascii="Times New Roman" w:hAnsi="Times New Roman" w:cs="Times New Roman"/>
          <w:bCs/>
          <w:color w:val="auto"/>
          <w:sz w:val="25"/>
          <w:szCs w:val="25"/>
          <w:u w:val="none"/>
        </w:rPr>
      </w:pPr>
      <w:r>
        <w:rPr>
          <w:rStyle w:val="Bodytext31"/>
          <w:rFonts w:ascii="Times New Roman" w:hAnsi="Times New Roman" w:cs="Times New Roman"/>
          <w:bCs/>
          <w:color w:val="auto"/>
          <w:sz w:val="25"/>
          <w:szCs w:val="25"/>
          <w:u w:val="none"/>
        </w:rPr>
        <w:t>C.A</w:t>
      </w:r>
      <w:r w:rsidR="007D6C1A">
        <w:rPr>
          <w:rStyle w:val="Bodytext31"/>
          <w:rFonts w:ascii="Times New Roman" w:hAnsi="Times New Roman" w:cs="Times New Roman"/>
          <w:bCs/>
          <w:color w:val="auto"/>
          <w:sz w:val="25"/>
          <w:szCs w:val="25"/>
          <w:u w:val="none"/>
        </w:rPr>
        <w:t>.</w:t>
      </w:r>
      <w:r>
        <w:rPr>
          <w:rStyle w:val="Bodytext31"/>
          <w:rFonts w:ascii="Times New Roman" w:hAnsi="Times New Roman" w:cs="Times New Roman"/>
          <w:bCs/>
          <w:color w:val="auto"/>
          <w:sz w:val="25"/>
          <w:szCs w:val="25"/>
          <w:u w:val="none"/>
        </w:rPr>
        <w:t>No.</w:t>
      </w:r>
      <w:r w:rsidR="00734CFE">
        <w:rPr>
          <w:rStyle w:val="Bodytext31"/>
          <w:rFonts w:ascii="Times New Roman" w:hAnsi="Times New Roman" w:cs="Times New Roman"/>
          <w:bCs/>
          <w:color w:val="auto"/>
          <w:sz w:val="25"/>
          <w:szCs w:val="25"/>
          <w:u w:val="none"/>
        </w:rPr>
        <w:t>10956 o</w:t>
      </w:r>
      <w:r w:rsidRPr="00E8636B">
        <w:rPr>
          <w:rStyle w:val="Bodytext31"/>
          <w:rFonts w:ascii="Times New Roman" w:hAnsi="Times New Roman" w:cs="Times New Roman"/>
          <w:bCs/>
          <w:color w:val="auto"/>
          <w:sz w:val="25"/>
          <w:szCs w:val="25"/>
          <w:u w:val="none"/>
        </w:rPr>
        <w:t>f 2013</w:t>
      </w:r>
    </w:p>
    <w:p w:rsidR="00E8636B" w:rsidRDefault="00E8636B" w:rsidP="00734CFE">
      <w:pPr>
        <w:pStyle w:val="Bodytext30"/>
        <w:shd w:val="clear" w:color="auto" w:fill="auto"/>
        <w:spacing w:before="0" w:after="0" w:line="240" w:lineRule="auto"/>
        <w:rPr>
          <w:rStyle w:val="Bodytext31"/>
          <w:rFonts w:ascii="Times New Roman" w:hAnsi="Times New Roman" w:cs="Times New Roman"/>
          <w:bCs/>
          <w:color w:val="auto"/>
          <w:sz w:val="25"/>
          <w:szCs w:val="25"/>
          <w:u w:val="none"/>
        </w:rPr>
      </w:pPr>
    </w:p>
    <w:p w:rsidR="00E8636B" w:rsidRPr="00E8636B" w:rsidRDefault="00E8636B" w:rsidP="00734CFE">
      <w:pPr>
        <w:pStyle w:val="Bodytext30"/>
        <w:shd w:val="clear" w:color="auto" w:fill="auto"/>
        <w:spacing w:before="0" w:after="0" w:line="240" w:lineRule="auto"/>
        <w:rPr>
          <w:rFonts w:ascii="Times New Roman" w:hAnsi="Times New Roman" w:cs="Times New Roman"/>
          <w:b w:val="0"/>
          <w:color w:val="auto"/>
          <w:sz w:val="25"/>
          <w:szCs w:val="25"/>
        </w:rPr>
      </w:pPr>
      <w:r>
        <w:rPr>
          <w:rFonts w:ascii="Times New Roman" w:hAnsi="Times New Roman" w:cs="Times New Roman"/>
          <w:color w:val="auto"/>
          <w:sz w:val="25"/>
          <w:szCs w:val="25"/>
        </w:rPr>
        <w:t>(</w:t>
      </w:r>
      <w:r w:rsidRPr="00E8636B">
        <w:rPr>
          <w:rFonts w:ascii="Times New Roman" w:hAnsi="Times New Roman" w:cs="Times New Roman"/>
          <w:b w:val="0"/>
          <w:color w:val="auto"/>
          <w:sz w:val="25"/>
          <w:szCs w:val="25"/>
        </w:rPr>
        <w:t>Chan</w:t>
      </w:r>
      <w:r>
        <w:rPr>
          <w:rFonts w:ascii="Times New Roman" w:hAnsi="Times New Roman" w:cs="Times New Roman"/>
          <w:b w:val="0"/>
          <w:color w:val="auto"/>
          <w:sz w:val="25"/>
          <w:szCs w:val="25"/>
        </w:rPr>
        <w:t>dramauli K</w:t>
      </w:r>
      <w:r w:rsidR="00AC196B">
        <w:rPr>
          <w:rFonts w:ascii="Times New Roman" w:hAnsi="Times New Roman" w:cs="Times New Roman"/>
          <w:b w:val="0"/>
          <w:color w:val="auto"/>
          <w:sz w:val="25"/>
          <w:szCs w:val="25"/>
        </w:rPr>
        <w:t>. Prasad a</w:t>
      </w:r>
      <w:r>
        <w:rPr>
          <w:rFonts w:ascii="Times New Roman" w:hAnsi="Times New Roman" w:cs="Times New Roman"/>
          <w:b w:val="0"/>
          <w:color w:val="auto"/>
          <w:sz w:val="25"/>
          <w:szCs w:val="25"/>
        </w:rPr>
        <w:t xml:space="preserve">nd Jagdish S. </w:t>
      </w:r>
      <w:r w:rsidRPr="00E8636B">
        <w:rPr>
          <w:rFonts w:ascii="Times New Roman" w:hAnsi="Times New Roman" w:cs="Times New Roman"/>
          <w:b w:val="0"/>
          <w:color w:val="auto"/>
          <w:sz w:val="25"/>
          <w:szCs w:val="25"/>
        </w:rPr>
        <w:t>Khehar</w:t>
      </w:r>
      <w:r w:rsidR="00AC196B">
        <w:rPr>
          <w:rFonts w:ascii="Times New Roman" w:hAnsi="Times New Roman" w:cs="Times New Roman"/>
          <w:b w:val="0"/>
          <w:color w:val="auto"/>
          <w:sz w:val="25"/>
          <w:szCs w:val="25"/>
        </w:rPr>
        <w:t>, JJ.</w:t>
      </w:r>
      <w:r>
        <w:rPr>
          <w:rFonts w:ascii="Times New Roman" w:hAnsi="Times New Roman" w:cs="Times New Roman"/>
          <w:b w:val="0"/>
          <w:color w:val="auto"/>
          <w:sz w:val="25"/>
          <w:szCs w:val="25"/>
        </w:rPr>
        <w:t>)</w:t>
      </w:r>
    </w:p>
    <w:p w:rsidR="00E8636B" w:rsidRPr="00E8636B" w:rsidRDefault="00E8636B" w:rsidP="00734CFE">
      <w:pPr>
        <w:pStyle w:val="Bodytext30"/>
        <w:shd w:val="clear" w:color="auto" w:fill="auto"/>
        <w:spacing w:before="0" w:after="0" w:line="240" w:lineRule="auto"/>
        <w:rPr>
          <w:rStyle w:val="Bodytext31"/>
          <w:rFonts w:ascii="Times New Roman" w:hAnsi="Times New Roman" w:cs="Times New Roman"/>
          <w:bCs/>
          <w:color w:val="auto"/>
          <w:sz w:val="25"/>
          <w:szCs w:val="25"/>
          <w:u w:val="none"/>
        </w:rPr>
      </w:pPr>
    </w:p>
    <w:p w:rsidR="00E8636B" w:rsidRDefault="00E8636B" w:rsidP="00734CFE">
      <w:pPr>
        <w:pStyle w:val="Bodytext30"/>
        <w:shd w:val="clear" w:color="auto" w:fill="auto"/>
        <w:tabs>
          <w:tab w:val="left" w:pos="6313"/>
        </w:tabs>
        <w:spacing w:before="0" w:after="0" w:line="240" w:lineRule="auto"/>
        <w:ind w:left="20"/>
        <w:rPr>
          <w:rStyle w:val="Bodytext31"/>
          <w:rFonts w:ascii="Times New Roman" w:hAnsi="Times New Roman" w:cs="Times New Roman"/>
          <w:b/>
          <w:bCs/>
          <w:color w:val="auto"/>
          <w:sz w:val="25"/>
          <w:szCs w:val="25"/>
          <w:u w:val="none"/>
        </w:rPr>
      </w:pPr>
      <w:r>
        <w:rPr>
          <w:rStyle w:val="Bodytext31"/>
          <w:rFonts w:ascii="Times New Roman" w:hAnsi="Times New Roman" w:cs="Times New Roman"/>
          <w:b/>
          <w:bCs/>
          <w:color w:val="auto"/>
          <w:sz w:val="25"/>
          <w:szCs w:val="25"/>
          <w:u w:val="none"/>
        </w:rPr>
        <w:t>JUDGMEN</w:t>
      </w:r>
      <w:r w:rsidR="00AE7242" w:rsidRPr="00E8636B">
        <w:rPr>
          <w:rStyle w:val="Bodytext31"/>
          <w:rFonts w:ascii="Times New Roman" w:hAnsi="Times New Roman" w:cs="Times New Roman"/>
          <w:b/>
          <w:bCs/>
          <w:color w:val="auto"/>
          <w:sz w:val="25"/>
          <w:szCs w:val="25"/>
          <w:u w:val="none"/>
        </w:rPr>
        <w:t>T</w:t>
      </w:r>
    </w:p>
    <w:p w:rsidR="00E8636B" w:rsidRDefault="00E8636B" w:rsidP="00E8636B">
      <w:pPr>
        <w:pStyle w:val="Bodytext30"/>
        <w:shd w:val="clear" w:color="auto" w:fill="auto"/>
        <w:tabs>
          <w:tab w:val="left" w:pos="6313"/>
        </w:tabs>
        <w:spacing w:before="0" w:after="0" w:line="240" w:lineRule="auto"/>
        <w:ind w:left="20"/>
        <w:rPr>
          <w:rStyle w:val="Bodytext31"/>
          <w:rFonts w:ascii="Times New Roman" w:hAnsi="Times New Roman" w:cs="Times New Roman"/>
          <w:b/>
          <w:bCs/>
          <w:color w:val="auto"/>
          <w:sz w:val="25"/>
          <w:szCs w:val="25"/>
          <w:u w:val="none"/>
        </w:rPr>
      </w:pPr>
    </w:p>
    <w:p w:rsidR="00B14698" w:rsidRPr="00734CFE" w:rsidRDefault="00E8636B" w:rsidP="00E8636B">
      <w:pPr>
        <w:pStyle w:val="Bodytext30"/>
        <w:shd w:val="clear" w:color="auto" w:fill="auto"/>
        <w:tabs>
          <w:tab w:val="left" w:pos="6313"/>
        </w:tabs>
        <w:spacing w:before="0" w:after="0" w:line="240" w:lineRule="auto"/>
        <w:ind w:left="20"/>
        <w:jc w:val="left"/>
        <w:rPr>
          <w:rStyle w:val="Bodytext31"/>
          <w:rFonts w:ascii="Times New Roman" w:hAnsi="Times New Roman" w:cs="Times New Roman"/>
          <w:b/>
          <w:bCs/>
          <w:color w:val="auto"/>
          <w:sz w:val="25"/>
          <w:szCs w:val="25"/>
          <w:u w:val="none"/>
        </w:rPr>
      </w:pPr>
      <w:r w:rsidRPr="00734CFE">
        <w:rPr>
          <w:rStyle w:val="Bodytext31"/>
          <w:rFonts w:ascii="Times New Roman" w:hAnsi="Times New Roman" w:cs="Times New Roman"/>
          <w:b/>
          <w:bCs/>
          <w:color w:val="auto"/>
          <w:sz w:val="25"/>
          <w:szCs w:val="25"/>
          <w:u w:val="none"/>
        </w:rPr>
        <w:t>Chandramauli K. Prasad, J.</w:t>
      </w:r>
    </w:p>
    <w:p w:rsidR="00E8636B" w:rsidRDefault="00E8636B" w:rsidP="00E8636B">
      <w:pPr>
        <w:pStyle w:val="Bodytext30"/>
        <w:shd w:val="clear" w:color="auto" w:fill="auto"/>
        <w:tabs>
          <w:tab w:val="left" w:pos="6313"/>
        </w:tabs>
        <w:spacing w:before="0" w:after="0" w:line="240" w:lineRule="auto"/>
        <w:ind w:left="20"/>
        <w:jc w:val="left"/>
        <w:rPr>
          <w:rStyle w:val="Bodytext31"/>
          <w:rFonts w:ascii="Times New Roman" w:hAnsi="Times New Roman" w:cs="Times New Roman"/>
          <w:b/>
          <w:bCs/>
          <w:color w:val="auto"/>
          <w:sz w:val="25"/>
          <w:szCs w:val="25"/>
          <w:u w:val="none"/>
        </w:rPr>
      </w:pPr>
    </w:p>
    <w:p w:rsidR="00B14698" w:rsidRDefault="00E8636B" w:rsidP="00E8636B">
      <w:pPr>
        <w:pStyle w:val="Bodytext0"/>
        <w:shd w:val="clear" w:color="auto" w:fill="auto"/>
        <w:spacing w:before="0" w:line="240" w:lineRule="auto"/>
        <w:jc w:val="both"/>
        <w:rPr>
          <w:rFonts w:ascii="Times New Roman" w:hAnsi="Times New Roman" w:cs="Times New Roman"/>
          <w:color w:val="auto"/>
          <w:sz w:val="25"/>
          <w:szCs w:val="25"/>
        </w:rPr>
      </w:pPr>
      <w:r w:rsidRPr="00E8636B">
        <w:rPr>
          <w:rFonts w:ascii="Times New Roman" w:hAnsi="Times New Roman" w:cs="Times New Roman"/>
          <w:bCs/>
          <w:color w:val="auto"/>
          <w:sz w:val="25"/>
          <w:szCs w:val="25"/>
        </w:rPr>
        <w:t>1</w:t>
      </w:r>
      <w:r>
        <w:rPr>
          <w:rFonts w:ascii="Times New Roman" w:hAnsi="Times New Roman" w:cs="Times New Roman"/>
          <w:b/>
          <w:bCs/>
          <w:color w:val="auto"/>
          <w:sz w:val="25"/>
          <w:szCs w:val="25"/>
        </w:rPr>
        <w:t xml:space="preserve">. </w:t>
      </w:r>
      <w:r w:rsidR="00AE7242" w:rsidRPr="00E8636B">
        <w:rPr>
          <w:rFonts w:ascii="Times New Roman" w:hAnsi="Times New Roman" w:cs="Times New Roman"/>
          <w:color w:val="auto"/>
          <w:sz w:val="25"/>
          <w:szCs w:val="25"/>
        </w:rPr>
        <w:t>S.K. Kool, respondent no. 1 herein (since deceased), was working as a clerk with the petitioner, Bank of Baroda and while working as such after a departmental inquiry, as a measure of punishment, visited with the penalty of 'removal from service with superannuation benefits as would be due otherwise and without disqualification from future employment'.</w:t>
      </w:r>
    </w:p>
    <w:p w:rsidR="00E8636B" w:rsidRPr="00E8636B" w:rsidRDefault="00E8636B" w:rsidP="00E8636B">
      <w:pPr>
        <w:pStyle w:val="Bodytext0"/>
        <w:shd w:val="clear" w:color="auto" w:fill="auto"/>
        <w:spacing w:before="0" w:line="240" w:lineRule="auto"/>
        <w:jc w:val="both"/>
        <w:rPr>
          <w:rFonts w:ascii="Times New Roman" w:hAnsi="Times New Roman" w:cs="Times New Roman"/>
          <w:color w:val="auto"/>
          <w:sz w:val="25"/>
          <w:szCs w:val="25"/>
        </w:rPr>
      </w:pPr>
    </w:p>
    <w:p w:rsidR="00B14698" w:rsidRDefault="00E8636B" w:rsidP="00E8636B">
      <w:pPr>
        <w:pStyle w:val="Bodytext0"/>
        <w:shd w:val="clear" w:color="auto" w:fill="auto"/>
        <w:spacing w:before="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2. </w:t>
      </w:r>
      <w:r w:rsidR="00AE7242" w:rsidRPr="00E8636B">
        <w:rPr>
          <w:rFonts w:ascii="Times New Roman" w:hAnsi="Times New Roman" w:cs="Times New Roman"/>
          <w:color w:val="auto"/>
          <w:sz w:val="25"/>
          <w:szCs w:val="25"/>
        </w:rPr>
        <w:t>S.K. Kool, hereinafter referred to as 'the employee', made a request for leave encashment, which was declined by the petitioner Bank of Baroda, hereinafter referred to as 'the employer', on the ground that 'where cessation of service takes place on account of employee's resignation or his dismissal/termination/compulsory retirement from the Bank's service, all leaves to his credit lapse.'</w:t>
      </w:r>
    </w:p>
    <w:p w:rsidR="00E8636B" w:rsidRPr="00E8636B" w:rsidRDefault="00E8636B" w:rsidP="00E8636B">
      <w:pPr>
        <w:pStyle w:val="Bodytext0"/>
        <w:shd w:val="clear" w:color="auto" w:fill="auto"/>
        <w:spacing w:before="0" w:line="240" w:lineRule="auto"/>
        <w:ind w:left="20" w:right="20"/>
        <w:jc w:val="both"/>
        <w:rPr>
          <w:rFonts w:ascii="Times New Roman" w:hAnsi="Times New Roman" w:cs="Times New Roman"/>
          <w:color w:val="auto"/>
          <w:sz w:val="25"/>
          <w:szCs w:val="25"/>
        </w:rPr>
      </w:pPr>
    </w:p>
    <w:p w:rsidR="00E8636B" w:rsidRDefault="00AC196B" w:rsidP="00E8636B">
      <w:pPr>
        <w:pStyle w:val="Bodytext0"/>
        <w:shd w:val="clear" w:color="auto" w:fill="auto"/>
        <w:spacing w:before="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3. </w:t>
      </w:r>
      <w:r w:rsidR="00AE7242" w:rsidRPr="00E8636B">
        <w:rPr>
          <w:rFonts w:ascii="Times New Roman" w:hAnsi="Times New Roman" w:cs="Times New Roman"/>
          <w:color w:val="auto"/>
          <w:sz w:val="25"/>
          <w:szCs w:val="25"/>
        </w:rPr>
        <w:t>The employee laid claim for pensionary benefits but the same was also declined. However, the employer advised the employee to ask for sanction of compassionate allowance not exceeding two-thirds of the pension which would have been admissible to him otherwise. A dispute was raised and the competent Government referred the dispute for adjudication by the Industrial Tribunal. The dispute referred to the Industrial Tribunal, hereinafter referred to as 'the Tribunal', reads as follows:</w:t>
      </w:r>
    </w:p>
    <w:p w:rsidR="00E8636B" w:rsidRDefault="00E8636B" w:rsidP="00E8636B">
      <w:pPr>
        <w:pStyle w:val="Bodytext0"/>
        <w:shd w:val="clear" w:color="auto" w:fill="auto"/>
        <w:spacing w:before="0" w:line="240" w:lineRule="auto"/>
        <w:ind w:left="20" w:right="20"/>
        <w:jc w:val="both"/>
        <w:rPr>
          <w:rFonts w:ascii="Times New Roman" w:hAnsi="Times New Roman" w:cs="Times New Roman"/>
          <w:color w:val="auto"/>
          <w:sz w:val="25"/>
          <w:szCs w:val="25"/>
        </w:rPr>
      </w:pPr>
    </w:p>
    <w:p w:rsidR="00B14698" w:rsidRDefault="00E8636B" w:rsidP="00E8636B">
      <w:pPr>
        <w:pStyle w:val="Bodytext0"/>
        <w:shd w:val="clear" w:color="auto" w:fill="auto"/>
        <w:spacing w:before="0" w:line="240" w:lineRule="auto"/>
        <w:ind w:left="720" w:right="20"/>
        <w:jc w:val="both"/>
        <w:rPr>
          <w:rFonts w:ascii="Times New Roman" w:hAnsi="Times New Roman" w:cs="Times New Roman"/>
          <w:color w:val="auto"/>
          <w:sz w:val="25"/>
          <w:szCs w:val="25"/>
        </w:rPr>
      </w:pPr>
      <w:r w:rsidRPr="00E8636B">
        <w:rPr>
          <w:rFonts w:ascii="Times New Roman" w:hAnsi="Times New Roman" w:cs="Times New Roman"/>
          <w:color w:val="auto"/>
          <w:sz w:val="25"/>
          <w:szCs w:val="25"/>
        </w:rPr>
        <w:t>“Whether the action of the management of Ba</w:t>
      </w:r>
      <w:r>
        <w:rPr>
          <w:rFonts w:ascii="Times New Roman" w:hAnsi="Times New Roman" w:cs="Times New Roman"/>
          <w:color w:val="auto"/>
          <w:sz w:val="25"/>
          <w:szCs w:val="25"/>
        </w:rPr>
        <w:t>nk of Baroda in denying pension</w:t>
      </w:r>
      <w:r w:rsidRPr="00E8636B">
        <w:rPr>
          <w:rFonts w:ascii="Times New Roman" w:hAnsi="Times New Roman" w:cs="Times New Roman"/>
          <w:color w:val="auto"/>
          <w:sz w:val="25"/>
          <w:szCs w:val="25"/>
        </w:rPr>
        <w:t>and encashment of leave to Shri S.K. Kool is legal and justified? If not, what relief the concerned workman is entitled to?”</w:t>
      </w:r>
    </w:p>
    <w:p w:rsidR="00E8636B" w:rsidRPr="00E8636B" w:rsidRDefault="00E8636B" w:rsidP="00E8636B">
      <w:pPr>
        <w:pStyle w:val="Bodytext0"/>
        <w:shd w:val="clear" w:color="auto" w:fill="auto"/>
        <w:spacing w:before="0" w:line="240" w:lineRule="auto"/>
        <w:ind w:left="720" w:right="20"/>
        <w:jc w:val="both"/>
        <w:rPr>
          <w:rFonts w:ascii="Times New Roman" w:hAnsi="Times New Roman" w:cs="Times New Roman"/>
          <w:color w:val="auto"/>
          <w:sz w:val="25"/>
          <w:szCs w:val="25"/>
        </w:rPr>
      </w:pPr>
    </w:p>
    <w:p w:rsidR="003A0F83" w:rsidRDefault="00E8636B" w:rsidP="003A0F83">
      <w:pPr>
        <w:pStyle w:val="Bodytext0"/>
        <w:shd w:val="clear" w:color="auto" w:fill="auto"/>
        <w:tabs>
          <w:tab w:val="left" w:pos="5046"/>
        </w:tabs>
        <w:spacing w:before="0" w:line="240" w:lineRule="auto"/>
        <w:ind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4. </w:t>
      </w:r>
      <w:r w:rsidR="00AE7242" w:rsidRPr="00E8636B">
        <w:rPr>
          <w:rFonts w:ascii="Times New Roman" w:hAnsi="Times New Roman" w:cs="Times New Roman"/>
          <w:color w:val="auto"/>
          <w:sz w:val="25"/>
          <w:szCs w:val="25"/>
        </w:rPr>
        <w:t>The employee filed his statement of claim and</w:t>
      </w:r>
      <w:r>
        <w:rPr>
          <w:rFonts w:ascii="Times New Roman" w:hAnsi="Times New Roman" w:cs="Times New Roman"/>
          <w:color w:val="auto"/>
          <w:sz w:val="25"/>
          <w:szCs w:val="25"/>
        </w:rPr>
        <w:t xml:space="preserve"> so</w:t>
      </w:r>
      <w:r>
        <w:rPr>
          <w:rFonts w:ascii="Times New Roman" w:hAnsi="Times New Roman" w:cs="Times New Roman"/>
          <w:color w:val="auto"/>
          <w:sz w:val="25"/>
          <w:szCs w:val="25"/>
        </w:rPr>
        <w:tab/>
        <w:t xml:space="preserve">did the employer. The employee founded </w:t>
      </w:r>
      <w:r w:rsidR="00AE7242" w:rsidRPr="00E8636B">
        <w:rPr>
          <w:rFonts w:ascii="Times New Roman" w:hAnsi="Times New Roman" w:cs="Times New Roman"/>
          <w:color w:val="auto"/>
          <w:sz w:val="25"/>
          <w:szCs w:val="25"/>
        </w:rPr>
        <w:t>his</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claim by relying on the order of punishment itself</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which, according to him, entitles him the</w:t>
      </w:r>
      <w:r>
        <w:rPr>
          <w:rFonts w:ascii="Times New Roman" w:hAnsi="Times New Roman" w:cs="Times New Roman"/>
          <w:color w:val="auto"/>
          <w:sz w:val="25"/>
          <w:szCs w:val="25"/>
        </w:rPr>
        <w:t xml:space="preserve"> superannuation benefit. It was resisted by </w:t>
      </w:r>
      <w:r w:rsidR="00AE7242" w:rsidRPr="00E8636B">
        <w:rPr>
          <w:rFonts w:ascii="Times New Roman" w:hAnsi="Times New Roman" w:cs="Times New Roman"/>
          <w:color w:val="auto"/>
          <w:sz w:val="25"/>
          <w:szCs w:val="25"/>
        </w:rPr>
        <w:t>the</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employer on the ground that such employees who are</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removed from the service of the Bank are not</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entitled to pension. The Tribunal considered the</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rival plea, upheld the contention of the employee</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and passed an award in his favour, and while doing</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so, observed as follows:</w:t>
      </w:r>
      <w:r w:rsidR="003A0F83">
        <w:rPr>
          <w:rFonts w:ascii="Times New Roman" w:hAnsi="Times New Roman" w:cs="Times New Roman"/>
          <w:color w:val="auto"/>
          <w:sz w:val="25"/>
          <w:szCs w:val="25"/>
        </w:rPr>
        <w:t xml:space="preserve"> </w:t>
      </w:r>
    </w:p>
    <w:p w:rsidR="003A0F83" w:rsidRDefault="003A0F83" w:rsidP="003A0F83">
      <w:pPr>
        <w:pStyle w:val="Bodytext0"/>
        <w:shd w:val="clear" w:color="auto" w:fill="auto"/>
        <w:tabs>
          <w:tab w:val="left" w:pos="5046"/>
        </w:tabs>
        <w:spacing w:before="0" w:line="240" w:lineRule="auto"/>
        <w:ind w:right="20"/>
        <w:jc w:val="both"/>
        <w:rPr>
          <w:rFonts w:ascii="Times New Roman" w:hAnsi="Times New Roman" w:cs="Times New Roman"/>
          <w:color w:val="auto"/>
          <w:sz w:val="25"/>
          <w:szCs w:val="25"/>
        </w:rPr>
      </w:pPr>
    </w:p>
    <w:p w:rsidR="00B14698" w:rsidRDefault="00AE7242" w:rsidP="003A0F83">
      <w:pPr>
        <w:pStyle w:val="Bodytext0"/>
        <w:shd w:val="clear" w:color="auto" w:fill="auto"/>
        <w:tabs>
          <w:tab w:val="left" w:pos="5046"/>
        </w:tabs>
        <w:spacing w:before="0" w:line="240" w:lineRule="auto"/>
        <w:ind w:left="720" w:right="20"/>
        <w:jc w:val="both"/>
        <w:rPr>
          <w:rFonts w:ascii="Times New Roman" w:hAnsi="Times New Roman" w:cs="Times New Roman"/>
          <w:color w:val="auto"/>
          <w:sz w:val="25"/>
          <w:szCs w:val="25"/>
        </w:rPr>
      </w:pPr>
      <w:r w:rsidRPr="00E8636B">
        <w:rPr>
          <w:rFonts w:ascii="Times New Roman" w:hAnsi="Times New Roman" w:cs="Times New Roman"/>
          <w:color w:val="auto"/>
          <w:sz w:val="25"/>
          <w:szCs w:val="25"/>
        </w:rPr>
        <w:t>"</w:t>
      </w:r>
      <w:r w:rsidRPr="00E8636B">
        <w:rPr>
          <w:rStyle w:val="BodytextBold"/>
          <w:rFonts w:ascii="Times New Roman" w:hAnsi="Times New Roman" w:cs="Times New Roman"/>
          <w:color w:val="auto"/>
          <w:sz w:val="25"/>
          <w:szCs w:val="25"/>
        </w:rPr>
        <w:t>12</w:t>
      </w:r>
      <w:r w:rsidRPr="00E8636B">
        <w:rPr>
          <w:rFonts w:ascii="Times New Roman" w:hAnsi="Times New Roman" w:cs="Times New Roman"/>
          <w:color w:val="auto"/>
          <w:sz w:val="25"/>
          <w:szCs w:val="25"/>
        </w:rPr>
        <w:t xml:space="preserve">. Therefore, in view of </w:t>
      </w:r>
      <w:r w:rsidR="00E8636B">
        <w:rPr>
          <w:rFonts w:ascii="Times New Roman" w:hAnsi="Times New Roman" w:cs="Times New Roman"/>
          <w:color w:val="auto"/>
          <w:sz w:val="25"/>
          <w:szCs w:val="25"/>
        </w:rPr>
        <w:t>the facts and circumstances and</w:t>
      </w:r>
      <w:r w:rsidR="005916BF">
        <w:rPr>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settled legal position, the tribunal feels no hesitation in holding that the action of the opposite party bank in denying superannuation benefits to the workman is neither legal nor justified. Accordingly it is held that the workman is entitled for his superannuation benefits under</w:t>
      </w:r>
      <w:r w:rsidR="003A0F83">
        <w:rPr>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the final orders of the disciplinary authority passed on 19.09.03 and any other order passed by some other officer denying superannuation benefits stands set aside. Accordingly the workman is held entitled for all termination benefits like pension, leave encashment, gratuity and commutation of pension subject to adjustment of any amount paid under these heads to the workman."</w:t>
      </w:r>
    </w:p>
    <w:p w:rsidR="003A0F83" w:rsidRDefault="003A0F83" w:rsidP="003A0F83">
      <w:pPr>
        <w:pStyle w:val="Bodytext0"/>
        <w:shd w:val="clear" w:color="auto" w:fill="auto"/>
        <w:tabs>
          <w:tab w:val="left" w:pos="5046"/>
        </w:tabs>
        <w:spacing w:before="0" w:line="240" w:lineRule="auto"/>
        <w:ind w:left="20" w:right="20"/>
        <w:jc w:val="both"/>
        <w:rPr>
          <w:rFonts w:ascii="Times New Roman" w:hAnsi="Times New Roman" w:cs="Times New Roman"/>
          <w:color w:val="auto"/>
          <w:sz w:val="25"/>
          <w:szCs w:val="25"/>
        </w:rPr>
      </w:pPr>
    </w:p>
    <w:p w:rsidR="003A0F83" w:rsidRDefault="003A0F83" w:rsidP="003A0F83">
      <w:pPr>
        <w:pStyle w:val="Bodytext0"/>
        <w:shd w:val="clear" w:color="auto" w:fill="auto"/>
        <w:spacing w:before="0" w:line="240" w:lineRule="auto"/>
        <w:ind w:left="20" w:right="24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5. </w:t>
      </w:r>
      <w:r w:rsidR="00AE7242" w:rsidRPr="00E8636B">
        <w:rPr>
          <w:rFonts w:ascii="Times New Roman" w:hAnsi="Times New Roman" w:cs="Times New Roman"/>
          <w:color w:val="auto"/>
          <w:sz w:val="25"/>
          <w:szCs w:val="25"/>
        </w:rPr>
        <w:t>The employer assailed the aforesaid award in a writ petition but the same has been dismissed by the High Court, inter alia, observing as follows:"It is true that both the provisions have to be harmonized. What logically follows from bare reading</w:t>
      </w:r>
      <w:r>
        <w:rPr>
          <w:rFonts w:ascii="Times New Roman" w:hAnsi="Times New Roman" w:cs="Times New Roman"/>
          <w:color w:val="auto"/>
          <w:sz w:val="25"/>
          <w:szCs w:val="25"/>
        </w:rPr>
        <w:t xml:space="preserve"> of the aforesaid provisions</w:t>
      </w:r>
      <w:r>
        <w:rPr>
          <w:rFonts w:ascii="Times New Roman" w:hAnsi="Times New Roman" w:cs="Times New Roman"/>
          <w:color w:val="auto"/>
          <w:sz w:val="25"/>
          <w:szCs w:val="25"/>
        </w:rPr>
        <w:tab/>
        <w:t xml:space="preserve">is </w:t>
      </w:r>
      <w:r w:rsidR="00AE7242" w:rsidRPr="00E8636B">
        <w:rPr>
          <w:rFonts w:ascii="Times New Roman" w:hAnsi="Times New Roman" w:cs="Times New Roman"/>
          <w:color w:val="auto"/>
          <w:sz w:val="25"/>
          <w:szCs w:val="25"/>
        </w:rPr>
        <w:t>that</w:t>
      </w:r>
      <w:r w:rsidR="00AE7242" w:rsidRPr="00E8636B">
        <w:rPr>
          <w:rFonts w:ascii="Times New Roman" w:hAnsi="Times New Roman" w:cs="Times New Roman"/>
          <w:color w:val="auto"/>
          <w:sz w:val="25"/>
          <w:szCs w:val="25"/>
        </w:rPr>
        <w:tab/>
        <w:t>the</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 xml:space="preserve">disciplinary authority has the competence to inflict punishment of removal from service with a condition that such removal from service shall not in any way result in forfeiture of </w:t>
      </w:r>
      <w:r w:rsidR="005916BF" w:rsidRPr="00E8636B">
        <w:rPr>
          <w:rFonts w:ascii="Times New Roman" w:hAnsi="Times New Roman" w:cs="Times New Roman"/>
          <w:color w:val="auto"/>
          <w:sz w:val="25"/>
          <w:szCs w:val="25"/>
        </w:rPr>
        <w:t>pensioner</w:t>
      </w:r>
      <w:r w:rsidR="00AE7242" w:rsidRPr="00E8636B">
        <w:rPr>
          <w:rFonts w:ascii="Times New Roman" w:hAnsi="Times New Roman" w:cs="Times New Roman"/>
          <w:color w:val="auto"/>
          <w:sz w:val="25"/>
          <w:szCs w:val="25"/>
        </w:rPr>
        <w:t xml:space="preserve"> benefits to which the workman concerned is otherwise eligible. Only simple reading of the words</w:t>
      </w:r>
      <w:r>
        <w:rPr>
          <w:rFonts w:ascii="Times New Roman" w:hAnsi="Times New Roman" w:cs="Times New Roman"/>
          <w:color w:val="auto"/>
          <w:sz w:val="25"/>
          <w:szCs w:val="25"/>
        </w:rPr>
        <w:t>.</w:t>
      </w:r>
    </w:p>
    <w:p w:rsidR="003A0F83" w:rsidRDefault="003A0F83" w:rsidP="003A0F83">
      <w:pPr>
        <w:pStyle w:val="Bodytext0"/>
        <w:shd w:val="clear" w:color="auto" w:fill="auto"/>
        <w:spacing w:before="0" w:line="240" w:lineRule="auto"/>
        <w:ind w:left="20" w:right="240"/>
        <w:jc w:val="both"/>
        <w:rPr>
          <w:rFonts w:ascii="Times New Roman" w:hAnsi="Times New Roman" w:cs="Times New Roman"/>
          <w:color w:val="auto"/>
          <w:sz w:val="25"/>
          <w:szCs w:val="25"/>
        </w:rPr>
      </w:pPr>
    </w:p>
    <w:p w:rsidR="00B14698" w:rsidRDefault="00AE7242" w:rsidP="003A0F83">
      <w:pPr>
        <w:pStyle w:val="Bodytext0"/>
        <w:shd w:val="clear" w:color="auto" w:fill="auto"/>
        <w:spacing w:before="0" w:line="240" w:lineRule="auto"/>
        <w:ind w:left="720" w:right="240"/>
        <w:jc w:val="both"/>
        <w:rPr>
          <w:rFonts w:ascii="Times New Roman" w:hAnsi="Times New Roman" w:cs="Times New Roman"/>
          <w:color w:val="auto"/>
          <w:sz w:val="25"/>
          <w:szCs w:val="25"/>
        </w:rPr>
      </w:pPr>
      <w:r w:rsidRPr="00E8636B">
        <w:rPr>
          <w:rFonts w:ascii="Times New Roman" w:hAnsi="Times New Roman" w:cs="Times New Roman"/>
          <w:color w:val="auto"/>
          <w:sz w:val="25"/>
          <w:szCs w:val="25"/>
        </w:rPr>
        <w:t xml:space="preserve"> "</w:t>
      </w:r>
      <w:r w:rsidR="003A0F83" w:rsidRPr="00E8636B">
        <w:rPr>
          <w:rFonts w:ascii="Times New Roman" w:hAnsi="Times New Roman" w:cs="Times New Roman"/>
          <w:color w:val="auto"/>
          <w:sz w:val="25"/>
          <w:szCs w:val="25"/>
        </w:rPr>
        <w:t>As Would Be Due Otherwise</w:t>
      </w:r>
      <w:r w:rsidRPr="00E8636B">
        <w:rPr>
          <w:rFonts w:ascii="Times New Roman" w:hAnsi="Times New Roman" w:cs="Times New Roman"/>
          <w:color w:val="auto"/>
          <w:sz w:val="25"/>
          <w:szCs w:val="25"/>
        </w:rPr>
        <w:t>" would mean that irrespective of the order of punishment of removal from servic</w:t>
      </w:r>
      <w:r w:rsidR="003A0F83">
        <w:rPr>
          <w:rFonts w:ascii="Times New Roman" w:hAnsi="Times New Roman" w:cs="Times New Roman"/>
          <w:color w:val="auto"/>
          <w:sz w:val="25"/>
          <w:szCs w:val="25"/>
        </w:rPr>
        <w:t>e, workman would be entitled</w:t>
      </w:r>
      <w:r w:rsidR="003A0F83">
        <w:rPr>
          <w:rFonts w:ascii="Times New Roman" w:hAnsi="Times New Roman" w:cs="Times New Roman"/>
          <w:color w:val="auto"/>
          <w:sz w:val="25"/>
          <w:szCs w:val="25"/>
        </w:rPr>
        <w:tab/>
        <w:t xml:space="preserve">to </w:t>
      </w:r>
      <w:r w:rsidRPr="00E8636B">
        <w:rPr>
          <w:rFonts w:ascii="Times New Roman" w:hAnsi="Times New Roman" w:cs="Times New Roman"/>
          <w:color w:val="auto"/>
          <w:sz w:val="25"/>
          <w:szCs w:val="25"/>
        </w:rPr>
        <w:t>superannuation</w:t>
      </w:r>
      <w:r w:rsidR="003A0F83">
        <w:rPr>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benefits, if it is found due otherwise i.e. if the workman</w:t>
      </w:r>
      <w:r w:rsidR="003A0F83">
        <w:rPr>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concerned satisfies the other requirement of superannuation benefits under Regulations, 1995, namely, he has completed requisite number of years of working etc."</w:t>
      </w:r>
    </w:p>
    <w:p w:rsidR="003A0F83" w:rsidRPr="00E8636B" w:rsidRDefault="003A0F83" w:rsidP="003A0F83">
      <w:pPr>
        <w:pStyle w:val="Bodytext0"/>
        <w:shd w:val="clear" w:color="auto" w:fill="auto"/>
        <w:spacing w:before="0" w:line="240" w:lineRule="auto"/>
        <w:ind w:left="20" w:right="240"/>
        <w:jc w:val="both"/>
        <w:rPr>
          <w:rFonts w:ascii="Times New Roman" w:hAnsi="Times New Roman" w:cs="Times New Roman"/>
          <w:color w:val="auto"/>
          <w:sz w:val="25"/>
          <w:szCs w:val="25"/>
        </w:rPr>
      </w:pPr>
    </w:p>
    <w:p w:rsidR="00B14698" w:rsidRDefault="003A0F83" w:rsidP="003A0F83">
      <w:pPr>
        <w:pStyle w:val="Bodytext0"/>
        <w:shd w:val="clear" w:color="auto" w:fill="auto"/>
        <w:spacing w:before="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6. </w:t>
      </w:r>
      <w:r w:rsidR="00AE7242" w:rsidRPr="00E8636B">
        <w:rPr>
          <w:rFonts w:ascii="Times New Roman" w:hAnsi="Times New Roman" w:cs="Times New Roman"/>
          <w:color w:val="auto"/>
          <w:sz w:val="25"/>
          <w:szCs w:val="25"/>
        </w:rPr>
        <w:t>Petitioner assails the award and the order of the High Court in the present special leave petition.</w:t>
      </w:r>
    </w:p>
    <w:p w:rsidR="003A0F83" w:rsidRPr="00E8636B" w:rsidRDefault="003A0F83" w:rsidP="003A0F83">
      <w:pPr>
        <w:pStyle w:val="Bodytext0"/>
        <w:shd w:val="clear" w:color="auto" w:fill="auto"/>
        <w:spacing w:before="0" w:line="240" w:lineRule="auto"/>
        <w:ind w:left="20" w:right="20"/>
        <w:jc w:val="both"/>
        <w:rPr>
          <w:rFonts w:ascii="Times New Roman" w:hAnsi="Times New Roman" w:cs="Times New Roman"/>
          <w:color w:val="auto"/>
          <w:sz w:val="25"/>
          <w:szCs w:val="25"/>
        </w:rPr>
      </w:pPr>
    </w:p>
    <w:p w:rsidR="00B14698" w:rsidRDefault="003A0F83" w:rsidP="003A0F83">
      <w:pPr>
        <w:pStyle w:val="Bodytext0"/>
        <w:shd w:val="clear" w:color="auto" w:fill="auto"/>
        <w:spacing w:before="0" w:line="240"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7. </w:t>
      </w:r>
      <w:r w:rsidR="00AE7242" w:rsidRPr="00E8636B">
        <w:rPr>
          <w:rFonts w:ascii="Times New Roman" w:hAnsi="Times New Roman" w:cs="Times New Roman"/>
          <w:color w:val="auto"/>
          <w:sz w:val="25"/>
          <w:szCs w:val="25"/>
        </w:rPr>
        <w:t>Leave granted.</w:t>
      </w:r>
    </w:p>
    <w:p w:rsidR="003A0F83" w:rsidRDefault="003A0F83" w:rsidP="003A0F83">
      <w:pPr>
        <w:pStyle w:val="Bodytext0"/>
        <w:shd w:val="clear" w:color="auto" w:fill="auto"/>
        <w:spacing w:before="0" w:line="240" w:lineRule="auto"/>
        <w:jc w:val="both"/>
        <w:rPr>
          <w:rFonts w:ascii="Times New Roman" w:hAnsi="Times New Roman" w:cs="Times New Roman"/>
          <w:color w:val="auto"/>
          <w:sz w:val="25"/>
          <w:szCs w:val="25"/>
        </w:rPr>
      </w:pPr>
    </w:p>
    <w:p w:rsidR="00B14698" w:rsidRDefault="003A0F83" w:rsidP="003A0F83">
      <w:pPr>
        <w:pStyle w:val="Bodytext0"/>
        <w:shd w:val="clear" w:color="auto" w:fill="auto"/>
        <w:spacing w:before="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8. </w:t>
      </w:r>
      <w:r w:rsidR="00AE7242" w:rsidRPr="00E8636B">
        <w:rPr>
          <w:rFonts w:ascii="Times New Roman" w:hAnsi="Times New Roman" w:cs="Times New Roman"/>
          <w:color w:val="auto"/>
          <w:sz w:val="25"/>
          <w:szCs w:val="25"/>
        </w:rPr>
        <w:t>Mr. Jaideep Gupta, learned Senior Counsel appearing on behalf of the appellant Bank, submits that employees of the Bank of Baroda are governed by the Bank of Baroda (Employees) Pension Regulation, 1995, hereinafter referred to as 'the Regulation'. According to the learned Senior Counsel, the Regulation has been made in exercise of powers conferred by clause (f) of sub-section (ii) of Section 19 of the Banking Companies (Acquisition and Transfer of Undertaking) Act, 1970 after consultation with the Reserve Bank of India and the previous sanction of the Central Government. The Regulation, therefore, in his</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submission is statutory in nature and in terms of Article 22(1) of the Regulation, removal of an employee from the service of the Bank would entail forfeiture of entire past service and consequently he shall not be entitled to pensionary benefits. According to him, such an employee at the most, would be entitled for compassionate allowance in terms of Article 31 of the Regulation. According to Mr. Gupta, though clause 6(b) of the Bipartite Settlement provides that an employee found guilty of gross misconduct may be removed from service with superannuation benefits i.e. pension and/or provident fund and gratuity as would be due otherwise under the Rules or Regulations prevailing at the relevant time and without disqualification from future employment, but this, in his submission, would not override or supersede Article 22(1) of the Regulation, which in no uncertain terms provides for forfeiture of entire past s</w:t>
      </w:r>
      <w:r>
        <w:rPr>
          <w:rFonts w:ascii="Times New Roman" w:hAnsi="Times New Roman" w:cs="Times New Roman"/>
          <w:color w:val="auto"/>
          <w:sz w:val="25"/>
          <w:szCs w:val="25"/>
        </w:rPr>
        <w:t xml:space="preserve">ervice on removal from service. </w:t>
      </w:r>
      <w:r w:rsidR="00AE7242" w:rsidRPr="00E8636B">
        <w:rPr>
          <w:rFonts w:ascii="Times New Roman" w:hAnsi="Times New Roman" w:cs="Times New Roman"/>
          <w:color w:val="auto"/>
          <w:sz w:val="25"/>
          <w:szCs w:val="25"/>
        </w:rPr>
        <w:t>Any</w:t>
      </w:r>
      <w:r>
        <w:rPr>
          <w:rFonts w:ascii="Times New Roman" w:hAnsi="Times New Roman" w:cs="Times New Roman"/>
          <w:color w:val="auto"/>
          <w:sz w:val="25"/>
          <w:szCs w:val="25"/>
        </w:rPr>
        <w:t xml:space="preserve"> </w:t>
      </w:r>
      <w:r w:rsidR="00AE7242" w:rsidRPr="00E8636B">
        <w:rPr>
          <w:rFonts w:ascii="Times New Roman" w:hAnsi="Times New Roman" w:cs="Times New Roman"/>
          <w:color w:val="auto"/>
          <w:sz w:val="25"/>
          <w:szCs w:val="25"/>
        </w:rPr>
        <w:t>interpretation other than what has been suggested by him would obliterate Article 22(1) of the Regulation, contends Mr. Gupta.</w:t>
      </w:r>
    </w:p>
    <w:p w:rsidR="003A0F83" w:rsidRPr="00E8636B" w:rsidRDefault="003A0F83" w:rsidP="003A0F83">
      <w:pPr>
        <w:pStyle w:val="Bodytext0"/>
        <w:shd w:val="clear" w:color="auto" w:fill="auto"/>
        <w:tabs>
          <w:tab w:val="right" w:pos="8680"/>
        </w:tabs>
        <w:spacing w:before="0" w:line="240" w:lineRule="auto"/>
        <w:ind w:left="40" w:right="20"/>
        <w:jc w:val="both"/>
        <w:rPr>
          <w:rFonts w:ascii="Times New Roman" w:hAnsi="Times New Roman" w:cs="Times New Roman"/>
          <w:color w:val="auto"/>
          <w:sz w:val="25"/>
          <w:szCs w:val="25"/>
        </w:rPr>
      </w:pPr>
    </w:p>
    <w:p w:rsidR="00B14698" w:rsidRPr="00E8636B" w:rsidRDefault="003A0F83" w:rsidP="003A0F83">
      <w:pPr>
        <w:pStyle w:val="Bodytext0"/>
        <w:shd w:val="clear" w:color="auto" w:fill="auto"/>
        <w:tabs>
          <w:tab w:val="left" w:pos="4971"/>
          <w:tab w:val="right" w:pos="8622"/>
        </w:tabs>
        <w:spacing w:before="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9. </w:t>
      </w:r>
      <w:r w:rsidR="00AE7242" w:rsidRPr="00E8636B">
        <w:rPr>
          <w:rFonts w:ascii="Times New Roman" w:hAnsi="Times New Roman" w:cs="Times New Roman"/>
          <w:color w:val="auto"/>
          <w:sz w:val="25"/>
          <w:szCs w:val="25"/>
        </w:rPr>
        <w:t>Ms. Shilpa Singh, learned counsel appearing on behalf of the employee's heirs, however, submits that the order of the disciplinary authority i</w:t>
      </w:r>
      <w:r>
        <w:rPr>
          <w:rFonts w:ascii="Times New Roman" w:hAnsi="Times New Roman" w:cs="Times New Roman"/>
          <w:color w:val="auto"/>
          <w:sz w:val="25"/>
          <w:szCs w:val="25"/>
        </w:rPr>
        <w:t>nflicting the punishment</w:t>
      </w:r>
      <w:r>
        <w:rPr>
          <w:rFonts w:ascii="Times New Roman" w:hAnsi="Times New Roman" w:cs="Times New Roman"/>
          <w:color w:val="auto"/>
          <w:sz w:val="25"/>
          <w:szCs w:val="25"/>
        </w:rPr>
        <w:tab/>
        <w:t xml:space="preserve">itselfentitled </w:t>
      </w:r>
      <w:r w:rsidR="00AE7242" w:rsidRPr="00E8636B">
        <w:rPr>
          <w:rFonts w:ascii="Times New Roman" w:hAnsi="Times New Roman" w:cs="Times New Roman"/>
          <w:color w:val="auto"/>
          <w:sz w:val="25"/>
          <w:szCs w:val="25"/>
        </w:rPr>
        <w:t>the</w:t>
      </w:r>
    </w:p>
    <w:p w:rsidR="00B14698" w:rsidRPr="00E8636B" w:rsidRDefault="00AE7242" w:rsidP="00E8636B">
      <w:pPr>
        <w:pStyle w:val="Bodytext0"/>
        <w:shd w:val="clear" w:color="auto" w:fill="auto"/>
        <w:tabs>
          <w:tab w:val="left" w:pos="4971"/>
          <w:tab w:val="right" w:pos="8622"/>
        </w:tabs>
        <w:spacing w:before="0" w:line="240" w:lineRule="auto"/>
        <w:ind w:left="20" w:right="20"/>
        <w:jc w:val="both"/>
        <w:rPr>
          <w:rFonts w:ascii="Times New Roman" w:hAnsi="Times New Roman" w:cs="Times New Roman"/>
          <w:color w:val="auto"/>
          <w:sz w:val="25"/>
          <w:szCs w:val="25"/>
        </w:rPr>
      </w:pPr>
      <w:r w:rsidRPr="00E8636B">
        <w:rPr>
          <w:rFonts w:ascii="Times New Roman" w:hAnsi="Times New Roman" w:cs="Times New Roman"/>
          <w:color w:val="auto"/>
          <w:sz w:val="25"/>
          <w:szCs w:val="25"/>
        </w:rPr>
        <w:t>employee to the superannuation benefits and that having att</w:t>
      </w:r>
      <w:r w:rsidR="003A0F83">
        <w:rPr>
          <w:rFonts w:ascii="Times New Roman" w:hAnsi="Times New Roman" w:cs="Times New Roman"/>
          <w:color w:val="auto"/>
          <w:sz w:val="25"/>
          <w:szCs w:val="25"/>
        </w:rPr>
        <w:t>ained finality,</w:t>
      </w:r>
      <w:r w:rsidR="003A0F83">
        <w:rPr>
          <w:rFonts w:ascii="Times New Roman" w:hAnsi="Times New Roman" w:cs="Times New Roman"/>
          <w:color w:val="auto"/>
          <w:sz w:val="25"/>
          <w:szCs w:val="25"/>
        </w:rPr>
        <w:tab/>
        <w:t xml:space="preserve">the same cannot </w:t>
      </w:r>
      <w:r w:rsidRPr="00E8636B">
        <w:rPr>
          <w:rFonts w:ascii="Times New Roman" w:hAnsi="Times New Roman" w:cs="Times New Roman"/>
          <w:color w:val="auto"/>
          <w:sz w:val="25"/>
          <w:szCs w:val="25"/>
        </w:rPr>
        <w:t>be</w:t>
      </w:r>
    </w:p>
    <w:p w:rsidR="00B14698" w:rsidRDefault="00AE7242" w:rsidP="003A0F83">
      <w:pPr>
        <w:pStyle w:val="Bodytext0"/>
        <w:shd w:val="clear" w:color="auto" w:fill="auto"/>
        <w:tabs>
          <w:tab w:val="left" w:pos="4971"/>
          <w:tab w:val="right" w:pos="8622"/>
        </w:tabs>
        <w:spacing w:before="0" w:line="240" w:lineRule="auto"/>
        <w:ind w:left="20" w:right="20"/>
        <w:jc w:val="both"/>
        <w:rPr>
          <w:rFonts w:ascii="Times New Roman" w:hAnsi="Times New Roman" w:cs="Times New Roman"/>
          <w:color w:val="auto"/>
          <w:sz w:val="25"/>
          <w:szCs w:val="25"/>
        </w:rPr>
      </w:pPr>
      <w:r w:rsidRPr="00E8636B">
        <w:rPr>
          <w:rFonts w:ascii="Times New Roman" w:hAnsi="Times New Roman" w:cs="Times New Roman"/>
          <w:color w:val="auto"/>
          <w:sz w:val="25"/>
          <w:szCs w:val="25"/>
        </w:rPr>
        <w:t>legally denied. She does not join issue that an interpretation which renders a provision redundant is to be avoided and, in fact, invokes the same in</w:t>
      </w:r>
      <w:r w:rsidR="003A0F83">
        <w:rPr>
          <w:rFonts w:ascii="Times New Roman" w:hAnsi="Times New Roman" w:cs="Times New Roman"/>
          <w:color w:val="auto"/>
          <w:sz w:val="25"/>
          <w:szCs w:val="25"/>
        </w:rPr>
        <w:t xml:space="preserve"> support of her contention. According to her, </w:t>
      </w:r>
      <w:r w:rsidRPr="00E8636B">
        <w:rPr>
          <w:rFonts w:ascii="Times New Roman" w:hAnsi="Times New Roman" w:cs="Times New Roman"/>
          <w:color w:val="auto"/>
          <w:sz w:val="25"/>
          <w:szCs w:val="25"/>
        </w:rPr>
        <w:t>if</w:t>
      </w:r>
      <w:r w:rsidR="003A0F83">
        <w:rPr>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the interpretation put by the</w:t>
      </w:r>
      <w:r w:rsidRPr="00E8636B">
        <w:rPr>
          <w:rFonts w:ascii="Times New Roman" w:hAnsi="Times New Roman" w:cs="Times New Roman"/>
          <w:color w:val="auto"/>
          <w:sz w:val="25"/>
          <w:szCs w:val="25"/>
        </w:rPr>
        <w:tab/>
        <w:t>employer is accepted,</w:t>
      </w:r>
      <w:r w:rsidR="003A0F83">
        <w:rPr>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clause 6(b) of the Bipartite Settlement shall be rendered otiose.</w:t>
      </w:r>
    </w:p>
    <w:p w:rsidR="003A0F83" w:rsidRDefault="003A0F83" w:rsidP="003A0F83">
      <w:pPr>
        <w:pStyle w:val="Bodytext0"/>
        <w:shd w:val="clear" w:color="auto" w:fill="auto"/>
        <w:tabs>
          <w:tab w:val="left" w:pos="4971"/>
          <w:tab w:val="right" w:pos="8622"/>
        </w:tabs>
        <w:spacing w:before="0" w:line="240" w:lineRule="auto"/>
        <w:ind w:left="20" w:right="20"/>
        <w:jc w:val="both"/>
        <w:rPr>
          <w:rFonts w:ascii="Times New Roman" w:hAnsi="Times New Roman" w:cs="Times New Roman"/>
          <w:color w:val="auto"/>
          <w:sz w:val="25"/>
          <w:szCs w:val="25"/>
        </w:rPr>
      </w:pPr>
    </w:p>
    <w:p w:rsidR="002D1C56" w:rsidRDefault="003A0F83" w:rsidP="002D1C56">
      <w:pPr>
        <w:pStyle w:val="Bodytext0"/>
        <w:shd w:val="clear" w:color="auto" w:fill="auto"/>
        <w:spacing w:before="0" w:line="240" w:lineRule="auto"/>
        <w:ind w:left="20" w:right="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10. </w:t>
      </w:r>
      <w:r w:rsidR="00AE7242" w:rsidRPr="00E8636B">
        <w:rPr>
          <w:rFonts w:ascii="Times New Roman" w:hAnsi="Times New Roman" w:cs="Times New Roman"/>
          <w:color w:val="auto"/>
          <w:sz w:val="25"/>
          <w:szCs w:val="25"/>
        </w:rPr>
        <w:t xml:space="preserve">Having considered the rival submissions we do not have the slightest hesitation in accepting the broad submission of Mr. Gupta that the Regulation in question is statutory in nature and the court should accept an interpretation which would not make any other provision redundant. Bearing in mind the aforesaid principle, we proceed to consider the rival contentions. The terms and conditions of service of the employees are governed and modified by the Bipartite Settlement. Various punishments have been provided under the </w:t>
      </w:r>
      <w:r w:rsidR="00AE7242" w:rsidRPr="00E8636B">
        <w:rPr>
          <w:rFonts w:ascii="Times New Roman" w:hAnsi="Times New Roman" w:cs="Times New Roman"/>
          <w:color w:val="auto"/>
          <w:sz w:val="25"/>
          <w:szCs w:val="25"/>
        </w:rPr>
        <w:lastRenderedPageBreak/>
        <w:t>Bipartite Settlement which can be inflicted on the employee found guilty of gross misconduct. In 2002, a Bipartite Settlement was signed by the Indian Banks' Association and the Banks' workmen's Union with regard to disciplinary action procedure. It is common ground that in the light of the said Bipartite Settlement, clause 6(b) was inserted as one of the punishments which can be inflicted on an employee found guilty of gross misconduct and the same reads as follows:</w:t>
      </w:r>
    </w:p>
    <w:p w:rsidR="002D1C56" w:rsidRDefault="002D1C56" w:rsidP="002D1C56">
      <w:pPr>
        <w:pStyle w:val="Bodytext0"/>
        <w:shd w:val="clear" w:color="auto" w:fill="auto"/>
        <w:spacing w:before="0" w:line="240" w:lineRule="auto"/>
        <w:ind w:left="20" w:right="20"/>
        <w:jc w:val="both"/>
        <w:rPr>
          <w:rFonts w:ascii="Times New Roman" w:hAnsi="Times New Roman" w:cs="Times New Roman"/>
          <w:color w:val="auto"/>
          <w:sz w:val="25"/>
          <w:szCs w:val="25"/>
        </w:rPr>
      </w:pPr>
    </w:p>
    <w:p w:rsidR="002D1C56" w:rsidRDefault="00AE7242" w:rsidP="002D1C56">
      <w:pPr>
        <w:pStyle w:val="Bodytext0"/>
        <w:shd w:val="clear" w:color="auto" w:fill="auto"/>
        <w:spacing w:before="0" w:line="240" w:lineRule="auto"/>
        <w:ind w:left="720" w:right="20"/>
        <w:jc w:val="both"/>
        <w:rPr>
          <w:rFonts w:ascii="Times New Roman" w:hAnsi="Times New Roman" w:cs="Times New Roman"/>
          <w:color w:val="auto"/>
          <w:sz w:val="25"/>
          <w:szCs w:val="25"/>
        </w:rPr>
      </w:pPr>
      <w:r w:rsidRPr="00E8636B">
        <w:rPr>
          <w:rFonts w:ascii="Times New Roman" w:hAnsi="Times New Roman" w:cs="Times New Roman"/>
          <w:color w:val="auto"/>
          <w:sz w:val="25"/>
          <w:szCs w:val="25"/>
        </w:rPr>
        <w:t>"</w:t>
      </w:r>
      <w:r w:rsidRPr="005916BF">
        <w:rPr>
          <w:rStyle w:val="BodytextBold"/>
          <w:rFonts w:ascii="Times New Roman" w:hAnsi="Times New Roman" w:cs="Times New Roman"/>
          <w:b w:val="0"/>
          <w:color w:val="auto"/>
          <w:sz w:val="25"/>
          <w:szCs w:val="25"/>
        </w:rPr>
        <w:t>6</w:t>
      </w:r>
      <w:r w:rsidRPr="00E8636B">
        <w:rPr>
          <w:rStyle w:val="BodytextBold"/>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An employee found guilty of</w:t>
      </w:r>
      <w:r w:rsidR="003A0F83">
        <w:rPr>
          <w:rFonts w:ascii="Times New Roman" w:hAnsi="Times New Roman" w:cs="Times New Roman"/>
          <w:color w:val="auto"/>
          <w:sz w:val="25"/>
          <w:szCs w:val="25"/>
        </w:rPr>
        <w:t xml:space="preserve"> </w:t>
      </w:r>
      <w:r w:rsidRPr="00E8636B">
        <w:rPr>
          <w:rFonts w:ascii="Times New Roman" w:hAnsi="Times New Roman" w:cs="Times New Roman"/>
          <w:color w:val="auto"/>
          <w:sz w:val="25"/>
          <w:szCs w:val="25"/>
        </w:rPr>
        <w:t>gross misconduct may;</w:t>
      </w:r>
    </w:p>
    <w:p w:rsidR="00AC196B" w:rsidRDefault="00AC196B" w:rsidP="002D1C56">
      <w:pPr>
        <w:pStyle w:val="Bodytext0"/>
        <w:shd w:val="clear" w:color="auto" w:fill="auto"/>
        <w:spacing w:before="0" w:line="240" w:lineRule="auto"/>
        <w:ind w:left="720" w:right="20"/>
        <w:jc w:val="both"/>
        <w:rPr>
          <w:rFonts w:ascii="Times New Roman" w:hAnsi="Times New Roman" w:cs="Times New Roman"/>
          <w:color w:val="auto"/>
          <w:sz w:val="25"/>
          <w:szCs w:val="25"/>
        </w:rPr>
      </w:pPr>
    </w:p>
    <w:p w:rsidR="00B14698" w:rsidRDefault="003A0F83" w:rsidP="002D1C56">
      <w:pPr>
        <w:pStyle w:val="Bodytext0"/>
        <w:shd w:val="clear" w:color="auto" w:fill="auto"/>
        <w:spacing w:before="0" w:line="240" w:lineRule="auto"/>
        <w:ind w:left="720" w:right="20"/>
        <w:jc w:val="both"/>
        <w:rPr>
          <w:rFonts w:ascii="Times New Roman" w:hAnsi="Times New Roman" w:cs="Times New Roman"/>
          <w:color w:val="auto"/>
          <w:sz w:val="25"/>
          <w:szCs w:val="25"/>
        </w:rPr>
      </w:pPr>
      <w:r>
        <w:rPr>
          <w:rFonts w:ascii="Times New Roman" w:hAnsi="Times New Roman" w:cs="Times New Roman"/>
          <w:color w:val="auto"/>
          <w:sz w:val="25"/>
          <w:szCs w:val="25"/>
        </w:rPr>
        <w:t>(a)  ……………</w:t>
      </w:r>
      <w:r w:rsidR="00AE7242" w:rsidRPr="00E8636B">
        <w:rPr>
          <w:rFonts w:ascii="Times New Roman" w:hAnsi="Times New Roman" w:cs="Times New Roman"/>
          <w:color w:val="auto"/>
          <w:sz w:val="25"/>
          <w:szCs w:val="25"/>
        </w:rPr>
        <w:tab/>
      </w:r>
    </w:p>
    <w:p w:rsidR="00AC196B" w:rsidRPr="00E8636B" w:rsidRDefault="00AC196B" w:rsidP="002D1C56">
      <w:pPr>
        <w:pStyle w:val="Bodytext0"/>
        <w:shd w:val="clear" w:color="auto" w:fill="auto"/>
        <w:spacing w:before="0" w:line="240" w:lineRule="auto"/>
        <w:ind w:left="720" w:right="20"/>
        <w:jc w:val="both"/>
        <w:rPr>
          <w:rFonts w:ascii="Times New Roman" w:hAnsi="Times New Roman" w:cs="Times New Roman"/>
          <w:color w:val="auto"/>
          <w:sz w:val="25"/>
          <w:szCs w:val="25"/>
        </w:rPr>
      </w:pPr>
    </w:p>
    <w:p w:rsidR="002D1C56" w:rsidRDefault="003A0F83" w:rsidP="002D1C56">
      <w:pPr>
        <w:pStyle w:val="Bodytext0"/>
        <w:shd w:val="clear" w:color="auto" w:fill="auto"/>
        <w:spacing w:before="0" w:line="240" w:lineRule="auto"/>
        <w:ind w:left="700"/>
        <w:jc w:val="both"/>
        <w:rPr>
          <w:rFonts w:ascii="Times New Roman" w:hAnsi="Times New Roman" w:cs="Times New Roman"/>
          <w:color w:val="auto"/>
          <w:sz w:val="25"/>
          <w:szCs w:val="25"/>
        </w:rPr>
      </w:pPr>
      <w:r>
        <w:rPr>
          <w:rFonts w:ascii="Times New Roman" w:hAnsi="Times New Roman" w:cs="Times New Roman"/>
          <w:color w:val="auto"/>
          <w:sz w:val="25"/>
          <w:szCs w:val="25"/>
        </w:rPr>
        <w:t>(b) B</w:t>
      </w:r>
      <w:r w:rsidR="00AE7242" w:rsidRPr="00E8636B">
        <w:rPr>
          <w:rFonts w:ascii="Times New Roman" w:hAnsi="Times New Roman" w:cs="Times New Roman"/>
          <w:color w:val="auto"/>
          <w:sz w:val="25"/>
          <w:szCs w:val="25"/>
        </w:rPr>
        <w:t>e removed from service with superannuation benefits i.e.</w:t>
      </w:r>
      <w:r>
        <w:rPr>
          <w:rFonts w:ascii="Times New Roman" w:hAnsi="Times New Roman" w:cs="Times New Roman"/>
          <w:color w:val="auto"/>
          <w:sz w:val="25"/>
          <w:szCs w:val="25"/>
        </w:rPr>
        <w:t xml:space="preserve"> Pension and/</w:t>
      </w:r>
      <w:r w:rsidR="002D1C56">
        <w:rPr>
          <w:rFonts w:ascii="Times New Roman" w:hAnsi="Times New Roman" w:cs="Times New Roman"/>
          <w:color w:val="auto"/>
          <w:sz w:val="25"/>
          <w:szCs w:val="25"/>
        </w:rPr>
        <w:t>or Provident</w:t>
      </w:r>
      <w:r w:rsidR="00AE7242" w:rsidRPr="00E8636B">
        <w:rPr>
          <w:rFonts w:ascii="Times New Roman" w:hAnsi="Times New Roman" w:cs="Times New Roman"/>
          <w:color w:val="auto"/>
          <w:sz w:val="25"/>
          <w:szCs w:val="25"/>
        </w:rPr>
        <w:t xml:space="preserve"> Fund and Gratuity as would</w:t>
      </w:r>
      <w:r>
        <w:rPr>
          <w:rFonts w:ascii="Times New Roman" w:hAnsi="Times New Roman" w:cs="Times New Roman"/>
          <w:color w:val="auto"/>
          <w:sz w:val="25"/>
          <w:szCs w:val="25"/>
        </w:rPr>
        <w:t xml:space="preserve"> </w:t>
      </w:r>
      <w:r w:rsidRPr="003A0F83">
        <w:rPr>
          <w:rFonts w:ascii="Times New Roman" w:hAnsi="Times New Roman" w:cs="Times New Roman"/>
          <w:color w:val="auto"/>
          <w:sz w:val="25"/>
          <w:szCs w:val="25"/>
        </w:rPr>
        <w:t xml:space="preserve">be due otherwise under the Rules or Regulations prevailing at the relevant time and without disqualification from future employment, or xxx xxx xxx” </w:t>
      </w:r>
    </w:p>
    <w:p w:rsidR="002D1C56" w:rsidRDefault="002D1C56" w:rsidP="003A0F83">
      <w:pPr>
        <w:pStyle w:val="Bodytext0"/>
        <w:shd w:val="clear" w:color="auto" w:fill="auto"/>
        <w:spacing w:before="0" w:line="240" w:lineRule="auto"/>
        <w:ind w:right="1280"/>
        <w:jc w:val="both"/>
        <w:rPr>
          <w:rFonts w:ascii="Times New Roman" w:hAnsi="Times New Roman" w:cs="Times New Roman"/>
          <w:color w:val="auto"/>
          <w:sz w:val="25"/>
          <w:szCs w:val="25"/>
        </w:rPr>
      </w:pPr>
    </w:p>
    <w:p w:rsidR="002D1C56" w:rsidRDefault="002D1C56" w:rsidP="002D1C56">
      <w:pPr>
        <w:pStyle w:val="Bodytext0"/>
        <w:shd w:val="clear" w:color="auto" w:fill="auto"/>
        <w:spacing w:before="0" w:line="240"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11. </w:t>
      </w:r>
      <w:r w:rsidR="003A0F83" w:rsidRPr="003A0F83">
        <w:rPr>
          <w:rFonts w:ascii="Times New Roman" w:hAnsi="Times New Roman" w:cs="Times New Roman"/>
          <w:color w:val="auto"/>
          <w:sz w:val="25"/>
          <w:szCs w:val="25"/>
        </w:rPr>
        <w:t>The employee undisputedly has been visited with</w:t>
      </w:r>
      <w:r>
        <w:rPr>
          <w:rFonts w:ascii="Times New Roman" w:hAnsi="Times New Roman" w:cs="Times New Roman"/>
          <w:color w:val="auto"/>
          <w:sz w:val="25"/>
          <w:szCs w:val="25"/>
        </w:rPr>
        <w:t xml:space="preserve"> the aforesaid penalty in term </w:t>
      </w:r>
      <w:r w:rsidR="003A0F83" w:rsidRPr="003A0F83">
        <w:rPr>
          <w:rFonts w:ascii="Times New Roman" w:hAnsi="Times New Roman" w:cs="Times New Roman"/>
          <w:color w:val="auto"/>
          <w:sz w:val="25"/>
          <w:szCs w:val="25"/>
        </w:rPr>
        <w:t>of the Bipartite Settlement.</w:t>
      </w:r>
    </w:p>
    <w:p w:rsidR="002D1C56" w:rsidRDefault="002D1C56" w:rsidP="002D1C56">
      <w:pPr>
        <w:pStyle w:val="Bodytext0"/>
        <w:shd w:val="clear" w:color="auto" w:fill="auto"/>
        <w:spacing w:before="0" w:line="240" w:lineRule="auto"/>
        <w:jc w:val="both"/>
        <w:rPr>
          <w:rFonts w:ascii="Times New Roman" w:hAnsi="Times New Roman" w:cs="Times New Roman"/>
          <w:color w:val="auto"/>
          <w:sz w:val="25"/>
          <w:szCs w:val="25"/>
        </w:rPr>
      </w:pPr>
    </w:p>
    <w:p w:rsidR="002D1C56" w:rsidRDefault="003A0F83" w:rsidP="002D1C56">
      <w:pPr>
        <w:pStyle w:val="Bodytext0"/>
        <w:shd w:val="clear" w:color="auto" w:fill="auto"/>
        <w:spacing w:before="0" w:line="240" w:lineRule="auto"/>
        <w:jc w:val="both"/>
        <w:rPr>
          <w:rFonts w:ascii="Times New Roman" w:hAnsi="Times New Roman" w:cs="Times New Roman"/>
          <w:color w:val="auto"/>
          <w:sz w:val="25"/>
          <w:szCs w:val="25"/>
        </w:rPr>
      </w:pPr>
      <w:r w:rsidRPr="003A0F83">
        <w:rPr>
          <w:rFonts w:ascii="Times New Roman" w:hAnsi="Times New Roman" w:cs="Times New Roman"/>
          <w:color w:val="auto"/>
          <w:sz w:val="25"/>
          <w:szCs w:val="25"/>
        </w:rPr>
        <w:t xml:space="preserve"> Article 22 of the Regulation, which is relied on to deny the claim of the employee reads as follows: </w:t>
      </w:r>
    </w:p>
    <w:p w:rsidR="002D1C56" w:rsidRDefault="002D1C56" w:rsidP="003A0F83">
      <w:pPr>
        <w:pStyle w:val="Bodytext0"/>
        <w:shd w:val="clear" w:color="auto" w:fill="auto"/>
        <w:spacing w:before="0" w:line="240" w:lineRule="auto"/>
        <w:ind w:right="1280"/>
        <w:jc w:val="both"/>
        <w:rPr>
          <w:rFonts w:ascii="Times New Roman" w:hAnsi="Times New Roman" w:cs="Times New Roman"/>
          <w:color w:val="auto"/>
          <w:sz w:val="25"/>
          <w:szCs w:val="25"/>
        </w:rPr>
      </w:pPr>
    </w:p>
    <w:p w:rsidR="002D1C56" w:rsidRDefault="003A0F83" w:rsidP="002D1C56">
      <w:pPr>
        <w:pStyle w:val="Bodytext0"/>
        <w:shd w:val="clear" w:color="auto" w:fill="auto"/>
        <w:spacing w:before="0" w:line="240" w:lineRule="auto"/>
        <w:ind w:left="720"/>
        <w:jc w:val="both"/>
        <w:rPr>
          <w:rFonts w:ascii="Times New Roman" w:hAnsi="Times New Roman" w:cs="Times New Roman"/>
          <w:color w:val="auto"/>
          <w:sz w:val="25"/>
          <w:szCs w:val="25"/>
        </w:rPr>
      </w:pPr>
      <w:r w:rsidRPr="003A0F83">
        <w:rPr>
          <w:rFonts w:ascii="Times New Roman" w:hAnsi="Times New Roman" w:cs="Times New Roman"/>
          <w:color w:val="auto"/>
          <w:sz w:val="25"/>
          <w:szCs w:val="25"/>
        </w:rPr>
        <w:t>“22. Forfeiture of service: (1</w:t>
      </w:r>
      <w:r w:rsidR="002D1C56" w:rsidRPr="003A0F83">
        <w:rPr>
          <w:rFonts w:ascii="Times New Roman" w:hAnsi="Times New Roman" w:cs="Times New Roman"/>
          <w:color w:val="auto"/>
          <w:sz w:val="25"/>
          <w:szCs w:val="25"/>
        </w:rPr>
        <w:t>) Resignation</w:t>
      </w:r>
      <w:r w:rsidRPr="003A0F83">
        <w:rPr>
          <w:rFonts w:ascii="Times New Roman" w:hAnsi="Times New Roman" w:cs="Times New Roman"/>
          <w:color w:val="auto"/>
          <w:sz w:val="25"/>
          <w:szCs w:val="25"/>
        </w:rPr>
        <w:t xml:space="preserve"> or dism</w:t>
      </w:r>
      <w:r w:rsidR="002D1C56">
        <w:rPr>
          <w:rFonts w:ascii="Times New Roman" w:hAnsi="Times New Roman" w:cs="Times New Roman"/>
          <w:color w:val="auto"/>
          <w:sz w:val="25"/>
          <w:szCs w:val="25"/>
        </w:rPr>
        <w:t xml:space="preserve">issal or removal or termination </w:t>
      </w:r>
      <w:r w:rsidRPr="003A0F83">
        <w:rPr>
          <w:rFonts w:ascii="Times New Roman" w:hAnsi="Times New Roman" w:cs="Times New Roman"/>
          <w:color w:val="auto"/>
          <w:sz w:val="25"/>
          <w:szCs w:val="25"/>
        </w:rPr>
        <w:t>of an employee from the service of the Bank shall entail forfeiture of his entire past service and consequently shall not qualify for pensionary benefits.</w:t>
      </w:r>
      <w:r w:rsidR="002D1C56">
        <w:rPr>
          <w:rFonts w:ascii="Times New Roman" w:hAnsi="Times New Roman" w:cs="Times New Roman"/>
          <w:color w:val="auto"/>
          <w:sz w:val="25"/>
          <w:szCs w:val="25"/>
        </w:rPr>
        <w:t>”</w:t>
      </w:r>
    </w:p>
    <w:p w:rsidR="002D1C56" w:rsidRDefault="002D1C56" w:rsidP="002D1C56">
      <w:pPr>
        <w:pStyle w:val="Bodytext0"/>
        <w:shd w:val="clear" w:color="auto" w:fill="auto"/>
        <w:spacing w:before="0" w:line="240" w:lineRule="auto"/>
        <w:ind w:left="720"/>
        <w:jc w:val="both"/>
        <w:rPr>
          <w:rFonts w:ascii="Times New Roman" w:hAnsi="Times New Roman" w:cs="Times New Roman"/>
          <w:color w:val="auto"/>
          <w:sz w:val="25"/>
          <w:szCs w:val="25"/>
        </w:rPr>
      </w:pPr>
    </w:p>
    <w:p w:rsidR="002D1C56" w:rsidRDefault="002D1C56" w:rsidP="002D1C56">
      <w:pPr>
        <w:pStyle w:val="Bodytext0"/>
        <w:shd w:val="clear" w:color="auto" w:fill="auto"/>
        <w:spacing w:before="0" w:line="240"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12. </w:t>
      </w:r>
      <w:r w:rsidR="003A0F83" w:rsidRPr="003A0F83">
        <w:rPr>
          <w:rFonts w:ascii="Times New Roman" w:hAnsi="Times New Roman" w:cs="Times New Roman"/>
          <w:color w:val="auto"/>
          <w:sz w:val="25"/>
          <w:szCs w:val="25"/>
        </w:rPr>
        <w:t xml:space="preserve"> From a plain reading of the aforesaid Regulation, it is evident that removal of an employee shall entail forfeiture of his entire past service and consequently such an employee shall not qualify for pensionary benefits. If we accept this submission, no employee removed from service in any event would be entitled for pensionary benefits. But the fact of the matter is that the Bipartite Settlement provides for removal from service with pensionary benefits “as would be due otherwise under the Rules or Regulations </w:t>
      </w:r>
      <w:r>
        <w:rPr>
          <w:rFonts w:ascii="Times New Roman" w:hAnsi="Times New Roman" w:cs="Times New Roman"/>
          <w:color w:val="auto"/>
          <w:sz w:val="25"/>
          <w:szCs w:val="25"/>
        </w:rPr>
        <w:t>prevailing at the relevant time.</w:t>
      </w:r>
      <w:r w:rsidR="003A0F83" w:rsidRPr="003A0F83">
        <w:rPr>
          <w:rFonts w:ascii="Times New Roman" w:hAnsi="Times New Roman" w:cs="Times New Roman"/>
          <w:color w:val="auto"/>
          <w:sz w:val="25"/>
          <w:szCs w:val="25"/>
        </w:rPr>
        <w:t xml:space="preserve">The consequence of this construction would be that the words quoted above shall become a dead letter. Such a construction has to be avoided. </w:t>
      </w:r>
    </w:p>
    <w:p w:rsidR="002D1C56" w:rsidRDefault="002D1C56" w:rsidP="002D1C56">
      <w:pPr>
        <w:pStyle w:val="Bodytext0"/>
        <w:shd w:val="clear" w:color="auto" w:fill="auto"/>
        <w:spacing w:before="0" w:line="240" w:lineRule="auto"/>
        <w:jc w:val="both"/>
        <w:rPr>
          <w:rFonts w:ascii="Times New Roman" w:hAnsi="Times New Roman" w:cs="Times New Roman"/>
          <w:color w:val="auto"/>
          <w:sz w:val="25"/>
          <w:szCs w:val="25"/>
        </w:rPr>
      </w:pPr>
    </w:p>
    <w:p w:rsidR="002D1C56" w:rsidRDefault="002D1C56" w:rsidP="002D1C56">
      <w:pPr>
        <w:pStyle w:val="Bodytext0"/>
        <w:shd w:val="clear" w:color="auto" w:fill="auto"/>
        <w:spacing w:before="0" w:line="240" w:lineRule="auto"/>
        <w:jc w:val="both"/>
        <w:rPr>
          <w:rFonts w:ascii="Times New Roman" w:hAnsi="Times New Roman" w:cs="Times New Roman"/>
          <w:color w:val="auto"/>
          <w:sz w:val="25"/>
          <w:szCs w:val="25"/>
        </w:rPr>
      </w:pPr>
    </w:p>
    <w:p w:rsidR="002D1C56" w:rsidRDefault="002D1C56" w:rsidP="002D1C56">
      <w:pPr>
        <w:pStyle w:val="Bodytext0"/>
        <w:shd w:val="clear" w:color="auto" w:fill="auto"/>
        <w:spacing w:before="0" w:line="240" w:lineRule="auto"/>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13. </w:t>
      </w:r>
      <w:r w:rsidR="003A0F83" w:rsidRPr="003A0F83">
        <w:rPr>
          <w:rFonts w:ascii="Times New Roman" w:hAnsi="Times New Roman" w:cs="Times New Roman"/>
          <w:color w:val="auto"/>
          <w:sz w:val="25"/>
          <w:szCs w:val="25"/>
        </w:rPr>
        <w:t xml:space="preserve">The Regulation does not entitle every employee to pensionary benefits. Its application and eligibility is provided under Chapter II of the Regulation whereas Chapter IV deals with qualifying service. An employee who has rendered a minimum of ten years of service and fulfils other conditions only can qualify for pension in terms of Article 14 of the Regulation. Therefore, the expression “as 10 Page 11 would be due otherwise” would mean only such employees who are eligible and have put in minimum number of years of service to qualify for pension. However, such of the employees who are not eligible and have not put in required number of years of qualifying service shall not be entitled to the superannuation benefit though removed from service in terms of clause 6(b) of the Bipartite Settlement. Clause 6(b) came to be inserted as one of the punishments on account of the Bipartite Settlement. It provides for payment of superannuation benefits as would be due otherwise. The Bipartite Settlement tends to provide a punishment which gives superannuation benefits otherwise due. The construction canvassed by the employer shall give nothing to the employees in any event. Will it not be a fraud Bipartite Settlement? Obviously it would be. From the conspectus of what we have observed we have no doubt that such of the employees who are otherwise eligible for superannuation benefit are removed 11 Page 12 from service in terms of clause 6(b) of the Bipartite Settlement shall be entitled to superannuation benefits. This is the only construction which would harmonise the two provisions. It is well settled rule of construction that in case of apparent conflict between the two provisions, they </w:t>
      </w:r>
      <w:r w:rsidR="003A0F83" w:rsidRPr="003A0F83">
        <w:rPr>
          <w:rFonts w:ascii="Times New Roman" w:hAnsi="Times New Roman" w:cs="Times New Roman"/>
          <w:color w:val="auto"/>
          <w:sz w:val="25"/>
          <w:szCs w:val="25"/>
        </w:rPr>
        <w:lastRenderedPageBreak/>
        <w:t xml:space="preserve">should be so interpreted that the effect is given to both. Hence, we are of the opinion that such of the employees who are otherwise entitled to superannuation benefits under the Regulation if visited with the penalty of removal from service with superannuation benefits shall be entitled for those benefits and such of the employees though visited with the same penalty but are not eligible for superannuation benefits under the Regulation shall not be entitled to that. </w:t>
      </w:r>
    </w:p>
    <w:p w:rsidR="002D1C56" w:rsidRDefault="002D1C56" w:rsidP="002D1C56">
      <w:pPr>
        <w:pStyle w:val="Bodytext0"/>
        <w:shd w:val="clear" w:color="auto" w:fill="auto"/>
        <w:spacing w:before="0" w:line="240" w:lineRule="auto"/>
        <w:jc w:val="both"/>
        <w:rPr>
          <w:rFonts w:ascii="Times New Roman" w:hAnsi="Times New Roman" w:cs="Times New Roman"/>
          <w:color w:val="auto"/>
          <w:sz w:val="25"/>
          <w:szCs w:val="25"/>
        </w:rPr>
      </w:pPr>
    </w:p>
    <w:p w:rsidR="00B14698" w:rsidRPr="003A0F83" w:rsidRDefault="002D1C56" w:rsidP="002D1C56">
      <w:pPr>
        <w:pStyle w:val="Bodytext0"/>
        <w:shd w:val="clear" w:color="auto" w:fill="auto"/>
        <w:spacing w:before="0" w:line="240" w:lineRule="auto"/>
        <w:jc w:val="both"/>
        <w:rPr>
          <w:rFonts w:ascii="Times New Roman" w:hAnsi="Times New Roman" w:cs="Times New Roman"/>
          <w:color w:val="auto"/>
          <w:sz w:val="25"/>
          <w:szCs w:val="25"/>
        </w:rPr>
        <w:sectPr w:rsidR="00B14698" w:rsidRPr="003A0F83" w:rsidSect="002D1C56">
          <w:headerReference w:type="default" r:id="rId7"/>
          <w:footerReference w:type="default" r:id="rId8"/>
          <w:type w:val="continuous"/>
          <w:pgSz w:w="12240" w:h="18720"/>
          <w:pgMar w:top="1440" w:right="1440" w:bottom="1440" w:left="1440" w:header="720" w:footer="720" w:gutter="0"/>
          <w:cols w:space="720"/>
          <w:noEndnote/>
          <w:docGrid w:linePitch="360"/>
        </w:sectPr>
      </w:pPr>
      <w:r>
        <w:rPr>
          <w:rFonts w:ascii="Times New Roman" w:hAnsi="Times New Roman" w:cs="Times New Roman"/>
          <w:color w:val="auto"/>
          <w:sz w:val="25"/>
          <w:szCs w:val="25"/>
        </w:rPr>
        <w:t xml:space="preserve">14. </w:t>
      </w:r>
      <w:r w:rsidR="003A0F83" w:rsidRPr="003A0F83">
        <w:rPr>
          <w:rFonts w:ascii="Times New Roman" w:hAnsi="Times New Roman" w:cs="Times New Roman"/>
          <w:color w:val="auto"/>
          <w:sz w:val="25"/>
          <w:szCs w:val="25"/>
        </w:rPr>
        <w:t xml:space="preserve">Accordingly, we hold that the employee’s heirs are entitled to superannuation benefits. The entire amount that the respondent is found entitled to along with interest at the rate of 6% per annum should be disbursed within 6 weeks from the date of receipt/communication of this Order. In the result, we do not find any merit in this appeal and it is dismissed accordingly with costs of Rs.50,000/- (rupees fifty thousand) to be paid by the appellant to the respondent No. 1 along with other dues and within the time stipulated above. </w:t>
      </w:r>
    </w:p>
    <w:p w:rsidR="00B14698" w:rsidRPr="003A0F83" w:rsidRDefault="00B14698" w:rsidP="002D1C56">
      <w:pPr>
        <w:jc w:val="both"/>
        <w:rPr>
          <w:rFonts w:ascii="Times New Roman" w:hAnsi="Times New Roman" w:cs="Times New Roman"/>
          <w:color w:val="auto"/>
          <w:sz w:val="25"/>
          <w:szCs w:val="25"/>
        </w:rPr>
      </w:pPr>
    </w:p>
    <w:p w:rsidR="00B14698" w:rsidRPr="003A0F83" w:rsidRDefault="00B14698" w:rsidP="003A0F83">
      <w:pPr>
        <w:jc w:val="both"/>
        <w:rPr>
          <w:rFonts w:ascii="Times New Roman" w:hAnsi="Times New Roman" w:cs="Times New Roman"/>
          <w:color w:val="auto"/>
          <w:sz w:val="25"/>
          <w:szCs w:val="25"/>
        </w:rPr>
        <w:sectPr w:rsidR="00B14698" w:rsidRPr="003A0F83">
          <w:headerReference w:type="default" r:id="rId9"/>
          <w:footerReference w:type="default" r:id="rId10"/>
          <w:type w:val="continuous"/>
          <w:pgSz w:w="12240" w:h="18720"/>
          <w:pgMar w:top="1004" w:right="513" w:bottom="1004" w:left="513" w:header="0" w:footer="3" w:gutter="0"/>
          <w:cols w:space="720"/>
          <w:noEndnote/>
          <w:titlePg/>
          <w:docGrid w:linePitch="360"/>
        </w:sectPr>
      </w:pPr>
    </w:p>
    <w:tbl>
      <w:tblPr>
        <w:tblpPr w:leftFromText="180" w:rightFromText="180" w:vertAnchor="text" w:horzAnchor="page" w:tblpX="1039" w:tblpY="-1466"/>
        <w:tblOverlap w:val="never"/>
        <w:tblW w:w="11203" w:type="dxa"/>
        <w:tblLayout w:type="fixed"/>
        <w:tblCellMar>
          <w:left w:w="10" w:type="dxa"/>
          <w:right w:w="10" w:type="dxa"/>
        </w:tblCellMar>
        <w:tblLook w:val="04A0"/>
      </w:tblPr>
      <w:tblGrid>
        <w:gridCol w:w="8870"/>
        <w:gridCol w:w="2333"/>
      </w:tblGrid>
      <w:tr w:rsidR="003A0F83" w:rsidRPr="003A0F83" w:rsidTr="003A0F83">
        <w:trPr>
          <w:trHeight w:hRule="exact" w:val="1214"/>
        </w:trPr>
        <w:tc>
          <w:tcPr>
            <w:tcW w:w="8870" w:type="dxa"/>
            <w:shd w:val="clear" w:color="auto" w:fill="FFFFFF"/>
            <w:vAlign w:val="bottom"/>
          </w:tcPr>
          <w:p w:rsidR="003A0F83" w:rsidRPr="003A0F83" w:rsidRDefault="003A0F83" w:rsidP="003A0F83">
            <w:pPr>
              <w:pStyle w:val="Bodytext0"/>
              <w:shd w:val="clear" w:color="auto" w:fill="auto"/>
              <w:spacing w:before="0" w:line="240" w:lineRule="auto"/>
              <w:ind w:left="5500"/>
              <w:jc w:val="both"/>
              <w:rPr>
                <w:rFonts w:ascii="Times New Roman" w:hAnsi="Times New Roman" w:cs="Times New Roman"/>
                <w:color w:val="auto"/>
                <w:sz w:val="25"/>
                <w:szCs w:val="25"/>
              </w:rPr>
            </w:pPr>
          </w:p>
        </w:tc>
        <w:tc>
          <w:tcPr>
            <w:tcW w:w="2333" w:type="dxa"/>
            <w:shd w:val="clear" w:color="auto" w:fill="FFFFFF"/>
          </w:tcPr>
          <w:p w:rsidR="003A0F83" w:rsidRPr="003A0F83" w:rsidRDefault="003A0F83" w:rsidP="003A0F83">
            <w:pPr>
              <w:jc w:val="both"/>
              <w:rPr>
                <w:rFonts w:ascii="Times New Roman" w:hAnsi="Times New Roman" w:cs="Times New Roman"/>
                <w:color w:val="auto"/>
                <w:sz w:val="25"/>
                <w:szCs w:val="25"/>
              </w:rPr>
            </w:pPr>
          </w:p>
        </w:tc>
      </w:tr>
      <w:tr w:rsidR="003A0F83" w:rsidRPr="003A0F83" w:rsidTr="003A0F83">
        <w:trPr>
          <w:trHeight w:hRule="exact" w:val="2290"/>
        </w:trPr>
        <w:tc>
          <w:tcPr>
            <w:tcW w:w="8870" w:type="dxa"/>
            <w:shd w:val="clear" w:color="auto" w:fill="FFFFFF"/>
            <w:vAlign w:val="center"/>
          </w:tcPr>
          <w:p w:rsidR="003A0F83" w:rsidRPr="003A0F83" w:rsidRDefault="003A0F83" w:rsidP="003A0F83">
            <w:pPr>
              <w:pStyle w:val="Bodytext0"/>
              <w:shd w:val="clear" w:color="auto" w:fill="auto"/>
              <w:spacing w:before="0" w:line="240" w:lineRule="auto"/>
              <w:jc w:val="both"/>
              <w:rPr>
                <w:rFonts w:ascii="Times New Roman" w:hAnsi="Times New Roman" w:cs="Times New Roman"/>
                <w:color w:val="auto"/>
                <w:sz w:val="25"/>
                <w:szCs w:val="25"/>
              </w:rPr>
            </w:pPr>
          </w:p>
        </w:tc>
        <w:tc>
          <w:tcPr>
            <w:tcW w:w="2333" w:type="dxa"/>
            <w:shd w:val="clear" w:color="auto" w:fill="FFFFFF"/>
          </w:tcPr>
          <w:p w:rsidR="003A0F83" w:rsidRPr="003A0F83" w:rsidRDefault="003A0F83" w:rsidP="003A0F83">
            <w:pPr>
              <w:jc w:val="both"/>
              <w:rPr>
                <w:rFonts w:ascii="Times New Roman" w:hAnsi="Times New Roman" w:cs="Times New Roman"/>
                <w:color w:val="auto"/>
                <w:sz w:val="25"/>
                <w:szCs w:val="25"/>
              </w:rPr>
            </w:pPr>
          </w:p>
        </w:tc>
      </w:tr>
      <w:tr w:rsidR="003A0F83" w:rsidRPr="003A0F83" w:rsidTr="003A0F83">
        <w:trPr>
          <w:trHeight w:hRule="exact" w:val="624"/>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left="4180"/>
              <w:jc w:val="both"/>
              <w:rPr>
                <w:rFonts w:ascii="Times New Roman" w:hAnsi="Times New Roman" w:cs="Times New Roman"/>
                <w:color w:val="auto"/>
                <w:sz w:val="25"/>
                <w:szCs w:val="25"/>
              </w:rPr>
            </w:pPr>
          </w:p>
        </w:tc>
        <w:tc>
          <w:tcPr>
            <w:tcW w:w="2333" w:type="dxa"/>
            <w:shd w:val="clear" w:color="auto" w:fill="FFFFFF"/>
          </w:tcPr>
          <w:p w:rsidR="003A0F83" w:rsidRPr="003A0F83" w:rsidRDefault="003A0F83" w:rsidP="003A0F83">
            <w:pPr>
              <w:jc w:val="both"/>
              <w:rPr>
                <w:rFonts w:ascii="Times New Roman" w:hAnsi="Times New Roman" w:cs="Times New Roman"/>
                <w:color w:val="auto"/>
                <w:sz w:val="25"/>
                <w:szCs w:val="25"/>
              </w:rPr>
            </w:pPr>
          </w:p>
        </w:tc>
      </w:tr>
      <w:tr w:rsidR="003A0F83" w:rsidRPr="003A0F83" w:rsidTr="003A0F83">
        <w:trPr>
          <w:trHeight w:hRule="exact" w:val="696"/>
        </w:trPr>
        <w:tc>
          <w:tcPr>
            <w:tcW w:w="11203" w:type="dxa"/>
            <w:gridSpan w:val="2"/>
            <w:shd w:val="clear" w:color="auto" w:fill="FFFFFF"/>
            <w:vAlign w:val="center"/>
          </w:tcPr>
          <w:p w:rsidR="003A0F83" w:rsidRPr="003A0F83" w:rsidRDefault="003A0F83" w:rsidP="003A0F83">
            <w:pPr>
              <w:pStyle w:val="Bodytext0"/>
              <w:shd w:val="clear" w:color="auto" w:fill="auto"/>
              <w:spacing w:before="0" w:line="240" w:lineRule="auto"/>
              <w:ind w:left="2020"/>
              <w:jc w:val="both"/>
              <w:rPr>
                <w:rFonts w:ascii="Times New Roman" w:hAnsi="Times New Roman" w:cs="Times New Roman"/>
                <w:color w:val="auto"/>
                <w:sz w:val="25"/>
                <w:szCs w:val="25"/>
              </w:rPr>
            </w:pPr>
          </w:p>
        </w:tc>
      </w:tr>
      <w:tr w:rsidR="003A0F83" w:rsidRPr="003A0F83" w:rsidTr="003A0F83">
        <w:trPr>
          <w:trHeight w:hRule="exact" w:val="614"/>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left="1300"/>
              <w:jc w:val="both"/>
              <w:rPr>
                <w:rFonts w:ascii="Times New Roman" w:hAnsi="Times New Roman" w:cs="Times New Roman"/>
                <w:color w:val="auto"/>
                <w:sz w:val="25"/>
                <w:szCs w:val="25"/>
              </w:rPr>
            </w:pPr>
          </w:p>
        </w:tc>
        <w:tc>
          <w:tcPr>
            <w:tcW w:w="2333" w:type="dxa"/>
            <w:shd w:val="clear" w:color="auto" w:fill="FFFFFF"/>
            <w:vAlign w:val="center"/>
          </w:tcPr>
          <w:p w:rsidR="003A0F83" w:rsidRPr="003A0F83" w:rsidRDefault="003A0F83" w:rsidP="003A0F83">
            <w:pPr>
              <w:pStyle w:val="Bodytext0"/>
              <w:shd w:val="clear" w:color="auto" w:fill="auto"/>
              <w:spacing w:before="0" w:line="240" w:lineRule="auto"/>
              <w:ind w:left="560"/>
              <w:jc w:val="both"/>
              <w:rPr>
                <w:rFonts w:ascii="Times New Roman" w:hAnsi="Times New Roman" w:cs="Times New Roman"/>
                <w:color w:val="auto"/>
                <w:sz w:val="25"/>
                <w:szCs w:val="25"/>
              </w:rPr>
            </w:pPr>
          </w:p>
        </w:tc>
      </w:tr>
      <w:tr w:rsidR="003A0F83" w:rsidRPr="003A0F83" w:rsidTr="003A0F83">
        <w:trPr>
          <w:trHeight w:hRule="exact" w:val="730"/>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left="1300"/>
              <w:jc w:val="both"/>
              <w:rPr>
                <w:rFonts w:ascii="Times New Roman" w:hAnsi="Times New Roman" w:cs="Times New Roman"/>
                <w:color w:val="auto"/>
                <w:sz w:val="25"/>
                <w:szCs w:val="25"/>
              </w:rPr>
            </w:pPr>
          </w:p>
        </w:tc>
        <w:tc>
          <w:tcPr>
            <w:tcW w:w="2333" w:type="dxa"/>
            <w:shd w:val="clear" w:color="auto" w:fill="FFFFFF"/>
          </w:tcPr>
          <w:p w:rsidR="003A0F83" w:rsidRPr="003A0F83" w:rsidRDefault="003A0F83" w:rsidP="003A0F83">
            <w:pPr>
              <w:jc w:val="both"/>
              <w:rPr>
                <w:rFonts w:ascii="Times New Roman" w:hAnsi="Times New Roman" w:cs="Times New Roman"/>
                <w:color w:val="auto"/>
                <w:sz w:val="25"/>
                <w:szCs w:val="25"/>
              </w:rPr>
            </w:pPr>
          </w:p>
        </w:tc>
      </w:tr>
      <w:tr w:rsidR="003A0F83" w:rsidRPr="003A0F83" w:rsidTr="003A0F83">
        <w:trPr>
          <w:trHeight w:hRule="exact" w:val="715"/>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right="220"/>
              <w:jc w:val="both"/>
              <w:rPr>
                <w:rFonts w:ascii="Times New Roman" w:hAnsi="Times New Roman" w:cs="Times New Roman"/>
                <w:color w:val="auto"/>
                <w:sz w:val="25"/>
                <w:szCs w:val="25"/>
              </w:rPr>
            </w:pPr>
          </w:p>
        </w:tc>
        <w:tc>
          <w:tcPr>
            <w:tcW w:w="2333" w:type="dxa"/>
            <w:shd w:val="clear" w:color="auto" w:fill="FFFFFF"/>
            <w:vAlign w:val="center"/>
          </w:tcPr>
          <w:p w:rsidR="003A0F83" w:rsidRPr="003A0F83" w:rsidRDefault="003A0F83" w:rsidP="003A0F83">
            <w:pPr>
              <w:pStyle w:val="Bodytext0"/>
              <w:shd w:val="clear" w:color="auto" w:fill="auto"/>
              <w:spacing w:before="0" w:line="240" w:lineRule="auto"/>
              <w:ind w:left="60"/>
              <w:jc w:val="both"/>
              <w:rPr>
                <w:rFonts w:ascii="Times New Roman" w:hAnsi="Times New Roman" w:cs="Times New Roman"/>
                <w:color w:val="auto"/>
                <w:sz w:val="25"/>
                <w:szCs w:val="25"/>
              </w:rPr>
            </w:pPr>
          </w:p>
        </w:tc>
      </w:tr>
      <w:tr w:rsidR="003A0F83" w:rsidRPr="003A0F83" w:rsidTr="003A0F83">
        <w:trPr>
          <w:trHeight w:hRule="exact" w:val="638"/>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left="1300"/>
              <w:jc w:val="both"/>
              <w:rPr>
                <w:rFonts w:ascii="Times New Roman" w:hAnsi="Times New Roman" w:cs="Times New Roman"/>
                <w:color w:val="auto"/>
                <w:sz w:val="25"/>
                <w:szCs w:val="25"/>
              </w:rPr>
            </w:pPr>
          </w:p>
        </w:tc>
        <w:tc>
          <w:tcPr>
            <w:tcW w:w="2333" w:type="dxa"/>
            <w:shd w:val="clear" w:color="auto" w:fill="FFFFFF"/>
            <w:vAlign w:val="center"/>
          </w:tcPr>
          <w:p w:rsidR="003A0F83" w:rsidRPr="003A0F83" w:rsidRDefault="003A0F83" w:rsidP="003A0F83">
            <w:pPr>
              <w:pStyle w:val="Bodytext0"/>
              <w:shd w:val="clear" w:color="auto" w:fill="auto"/>
              <w:spacing w:before="0" w:line="240" w:lineRule="auto"/>
              <w:ind w:left="240"/>
              <w:jc w:val="both"/>
              <w:rPr>
                <w:rFonts w:ascii="Times New Roman" w:hAnsi="Times New Roman" w:cs="Times New Roman"/>
                <w:color w:val="auto"/>
                <w:sz w:val="25"/>
                <w:szCs w:val="25"/>
              </w:rPr>
            </w:pPr>
          </w:p>
        </w:tc>
      </w:tr>
      <w:tr w:rsidR="003A0F83" w:rsidRPr="003A0F83" w:rsidTr="003A0F83">
        <w:trPr>
          <w:trHeight w:hRule="exact" w:val="610"/>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left="1300"/>
              <w:jc w:val="both"/>
              <w:rPr>
                <w:rFonts w:ascii="Times New Roman" w:hAnsi="Times New Roman" w:cs="Times New Roman"/>
                <w:color w:val="auto"/>
                <w:sz w:val="25"/>
                <w:szCs w:val="25"/>
              </w:rPr>
            </w:pPr>
          </w:p>
        </w:tc>
        <w:tc>
          <w:tcPr>
            <w:tcW w:w="2333" w:type="dxa"/>
            <w:shd w:val="clear" w:color="auto" w:fill="FFFFFF"/>
          </w:tcPr>
          <w:p w:rsidR="003A0F83" w:rsidRPr="003A0F83" w:rsidRDefault="003A0F83" w:rsidP="003A0F83">
            <w:pPr>
              <w:jc w:val="both"/>
              <w:rPr>
                <w:rFonts w:ascii="Times New Roman" w:hAnsi="Times New Roman" w:cs="Times New Roman"/>
                <w:color w:val="auto"/>
                <w:sz w:val="25"/>
                <w:szCs w:val="25"/>
              </w:rPr>
            </w:pPr>
          </w:p>
        </w:tc>
      </w:tr>
      <w:tr w:rsidR="003A0F83" w:rsidRPr="003A0F83" w:rsidTr="003A0F83">
        <w:trPr>
          <w:trHeight w:hRule="exact" w:val="624"/>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left="3460"/>
              <w:jc w:val="both"/>
              <w:rPr>
                <w:rFonts w:ascii="Times New Roman" w:hAnsi="Times New Roman" w:cs="Times New Roman"/>
                <w:color w:val="auto"/>
                <w:sz w:val="25"/>
                <w:szCs w:val="25"/>
              </w:rPr>
            </w:pPr>
          </w:p>
        </w:tc>
        <w:tc>
          <w:tcPr>
            <w:tcW w:w="2333" w:type="dxa"/>
            <w:shd w:val="clear" w:color="auto" w:fill="FFFFFF"/>
          </w:tcPr>
          <w:p w:rsidR="003A0F83" w:rsidRPr="003A0F83" w:rsidRDefault="003A0F83" w:rsidP="003A0F83">
            <w:pPr>
              <w:jc w:val="both"/>
              <w:rPr>
                <w:rFonts w:ascii="Times New Roman" w:hAnsi="Times New Roman" w:cs="Times New Roman"/>
                <w:color w:val="auto"/>
                <w:sz w:val="25"/>
                <w:szCs w:val="25"/>
              </w:rPr>
            </w:pPr>
          </w:p>
        </w:tc>
      </w:tr>
      <w:tr w:rsidR="003A0F83" w:rsidRPr="003A0F83" w:rsidTr="003A0F83">
        <w:trPr>
          <w:trHeight w:hRule="exact" w:val="3274"/>
        </w:trPr>
        <w:tc>
          <w:tcPr>
            <w:tcW w:w="8870" w:type="dxa"/>
            <w:shd w:val="clear" w:color="auto" w:fill="FFFFFF"/>
            <w:vAlign w:val="center"/>
          </w:tcPr>
          <w:p w:rsidR="003A0F83" w:rsidRPr="003A0F83" w:rsidRDefault="003A0F83" w:rsidP="003A0F83">
            <w:pPr>
              <w:pStyle w:val="Bodytext0"/>
              <w:shd w:val="clear" w:color="auto" w:fill="auto"/>
              <w:spacing w:before="0" w:line="240" w:lineRule="auto"/>
              <w:ind w:hanging="120"/>
              <w:jc w:val="both"/>
              <w:rPr>
                <w:rFonts w:ascii="Times New Roman" w:hAnsi="Times New Roman" w:cs="Times New Roman"/>
                <w:color w:val="auto"/>
                <w:sz w:val="25"/>
                <w:szCs w:val="25"/>
              </w:rPr>
            </w:pPr>
          </w:p>
        </w:tc>
        <w:tc>
          <w:tcPr>
            <w:tcW w:w="2333" w:type="dxa"/>
            <w:shd w:val="clear" w:color="auto" w:fill="FFFFFF"/>
          </w:tcPr>
          <w:p w:rsidR="003A0F83" w:rsidRPr="003A0F83" w:rsidRDefault="003A0F83" w:rsidP="003A0F83">
            <w:pPr>
              <w:jc w:val="both"/>
              <w:rPr>
                <w:rFonts w:ascii="Times New Roman" w:hAnsi="Times New Roman" w:cs="Times New Roman"/>
                <w:color w:val="auto"/>
                <w:sz w:val="25"/>
                <w:szCs w:val="25"/>
              </w:rPr>
            </w:pPr>
          </w:p>
        </w:tc>
      </w:tr>
      <w:tr w:rsidR="003A0F83" w:rsidRPr="003A0F83" w:rsidTr="003A0F83">
        <w:trPr>
          <w:trHeight w:hRule="exact" w:val="792"/>
        </w:trPr>
        <w:tc>
          <w:tcPr>
            <w:tcW w:w="11203" w:type="dxa"/>
            <w:gridSpan w:val="2"/>
            <w:shd w:val="clear" w:color="auto" w:fill="FFFFFF"/>
            <w:vAlign w:val="center"/>
          </w:tcPr>
          <w:p w:rsidR="003A0F83" w:rsidRPr="003A0F83" w:rsidRDefault="003A0F83" w:rsidP="003A0F83">
            <w:pPr>
              <w:pStyle w:val="Bodytext0"/>
              <w:shd w:val="clear" w:color="auto" w:fill="auto"/>
              <w:spacing w:before="0" w:line="240" w:lineRule="auto"/>
              <w:ind w:left="2040"/>
              <w:jc w:val="both"/>
              <w:rPr>
                <w:rFonts w:ascii="Times New Roman" w:hAnsi="Times New Roman" w:cs="Times New Roman"/>
                <w:color w:val="auto"/>
                <w:sz w:val="25"/>
                <w:szCs w:val="25"/>
              </w:rPr>
            </w:pPr>
          </w:p>
        </w:tc>
      </w:tr>
      <w:tr w:rsidR="003A0F83" w:rsidRPr="00E8636B" w:rsidTr="003A0F83">
        <w:trPr>
          <w:trHeight w:hRule="exact" w:val="619"/>
        </w:trPr>
        <w:tc>
          <w:tcPr>
            <w:tcW w:w="8870" w:type="dxa"/>
            <w:shd w:val="clear" w:color="auto" w:fill="FFFFFF"/>
            <w:vAlign w:val="center"/>
          </w:tcPr>
          <w:p w:rsidR="003A0F83" w:rsidRPr="00E8636B" w:rsidRDefault="003A0F83" w:rsidP="003A0F83">
            <w:pPr>
              <w:pStyle w:val="Bodytext0"/>
              <w:shd w:val="clear" w:color="auto" w:fill="auto"/>
              <w:spacing w:before="0" w:line="240" w:lineRule="auto"/>
              <w:ind w:right="340"/>
              <w:jc w:val="both"/>
              <w:rPr>
                <w:rFonts w:ascii="Times New Roman" w:hAnsi="Times New Roman" w:cs="Times New Roman"/>
                <w:color w:val="auto"/>
                <w:sz w:val="25"/>
                <w:szCs w:val="25"/>
              </w:rPr>
            </w:pPr>
          </w:p>
        </w:tc>
        <w:tc>
          <w:tcPr>
            <w:tcW w:w="2333" w:type="dxa"/>
            <w:shd w:val="clear" w:color="auto" w:fill="FFFFFF"/>
            <w:vAlign w:val="center"/>
          </w:tcPr>
          <w:p w:rsidR="003A0F83" w:rsidRPr="00E8636B" w:rsidRDefault="003A0F83" w:rsidP="003A0F83">
            <w:pPr>
              <w:pStyle w:val="Bodytext0"/>
              <w:shd w:val="clear" w:color="auto" w:fill="auto"/>
              <w:spacing w:before="0" w:line="240" w:lineRule="auto"/>
              <w:ind w:left="60"/>
              <w:jc w:val="both"/>
              <w:rPr>
                <w:rFonts w:ascii="Times New Roman" w:hAnsi="Times New Roman" w:cs="Times New Roman"/>
                <w:color w:val="auto"/>
                <w:sz w:val="25"/>
                <w:szCs w:val="25"/>
              </w:rPr>
            </w:pPr>
          </w:p>
        </w:tc>
      </w:tr>
      <w:tr w:rsidR="003A0F83" w:rsidRPr="00E8636B" w:rsidTr="003A0F83">
        <w:trPr>
          <w:trHeight w:hRule="exact" w:val="1190"/>
        </w:trPr>
        <w:tc>
          <w:tcPr>
            <w:tcW w:w="11203" w:type="dxa"/>
            <w:gridSpan w:val="2"/>
            <w:shd w:val="clear" w:color="auto" w:fill="FFFFFF"/>
          </w:tcPr>
          <w:p w:rsidR="003A0F83" w:rsidRPr="00E8636B" w:rsidRDefault="003A0F83" w:rsidP="003A0F83">
            <w:pPr>
              <w:pStyle w:val="Bodytext0"/>
              <w:shd w:val="clear" w:color="auto" w:fill="auto"/>
              <w:spacing w:before="0" w:line="240" w:lineRule="auto"/>
              <w:jc w:val="both"/>
              <w:rPr>
                <w:rFonts w:ascii="Times New Roman" w:hAnsi="Times New Roman" w:cs="Times New Roman"/>
                <w:color w:val="auto"/>
                <w:sz w:val="25"/>
                <w:szCs w:val="25"/>
              </w:rPr>
            </w:pPr>
          </w:p>
        </w:tc>
      </w:tr>
      <w:tr w:rsidR="003A0F83" w:rsidRPr="00E8636B" w:rsidTr="003A0F83">
        <w:trPr>
          <w:trHeight w:hRule="exact" w:val="1210"/>
        </w:trPr>
        <w:tc>
          <w:tcPr>
            <w:tcW w:w="8870" w:type="dxa"/>
            <w:shd w:val="clear" w:color="auto" w:fill="FFFFFF"/>
          </w:tcPr>
          <w:p w:rsidR="003A0F83" w:rsidRPr="00E8636B" w:rsidRDefault="003A0F83" w:rsidP="003A0F83">
            <w:pPr>
              <w:jc w:val="both"/>
              <w:rPr>
                <w:rFonts w:ascii="Times New Roman" w:hAnsi="Times New Roman" w:cs="Times New Roman"/>
                <w:color w:val="auto"/>
                <w:sz w:val="25"/>
                <w:szCs w:val="25"/>
              </w:rPr>
            </w:pPr>
          </w:p>
        </w:tc>
        <w:tc>
          <w:tcPr>
            <w:tcW w:w="2333" w:type="dxa"/>
            <w:shd w:val="clear" w:color="auto" w:fill="FFFFFF"/>
            <w:vAlign w:val="bottom"/>
          </w:tcPr>
          <w:p w:rsidR="003A0F83" w:rsidRPr="00E8636B" w:rsidRDefault="003A0F83" w:rsidP="003A0F83">
            <w:pPr>
              <w:pStyle w:val="Bodytext0"/>
              <w:shd w:val="clear" w:color="auto" w:fill="auto"/>
              <w:spacing w:before="0" w:line="240" w:lineRule="auto"/>
              <w:ind w:left="460"/>
              <w:jc w:val="both"/>
              <w:rPr>
                <w:rFonts w:ascii="Times New Roman" w:hAnsi="Times New Roman" w:cs="Times New Roman"/>
                <w:color w:val="auto"/>
                <w:sz w:val="25"/>
                <w:szCs w:val="25"/>
              </w:rPr>
            </w:pPr>
          </w:p>
        </w:tc>
      </w:tr>
    </w:tbl>
    <w:p w:rsidR="00B14698" w:rsidRPr="00E8636B" w:rsidRDefault="00E8636B" w:rsidP="003A0F83">
      <w:pPr>
        <w:pStyle w:val="Bodytext0"/>
        <w:shd w:val="clear" w:color="auto" w:fill="auto"/>
        <w:tabs>
          <w:tab w:val="center" w:pos="5281"/>
          <w:tab w:val="right" w:pos="7743"/>
          <w:tab w:val="right" w:pos="8631"/>
        </w:tabs>
        <w:spacing w:before="0" w:line="240" w:lineRule="auto"/>
        <w:ind w:left="20" w:right="20" w:firstLine="720"/>
        <w:jc w:val="both"/>
        <w:rPr>
          <w:rFonts w:ascii="Times New Roman" w:hAnsi="Times New Roman" w:cs="Times New Roman"/>
          <w:color w:val="auto"/>
          <w:sz w:val="25"/>
          <w:szCs w:val="25"/>
        </w:rPr>
      </w:pPr>
      <w:r>
        <w:rPr>
          <w:rFonts w:ascii="Times New Roman" w:hAnsi="Times New Roman" w:cs="Times New Roman"/>
          <w:color w:val="auto"/>
          <w:sz w:val="25"/>
          <w:szCs w:val="25"/>
        </w:rPr>
        <w:t xml:space="preserve"> </w:t>
      </w:r>
    </w:p>
    <w:sectPr w:rsidR="00B14698" w:rsidRPr="00E8636B" w:rsidSect="00B14698">
      <w:type w:val="continuous"/>
      <w:pgSz w:w="12240" w:h="18720"/>
      <w:pgMar w:top="2923" w:right="1794" w:bottom="3067" w:left="180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A34" w:rsidRDefault="00401A34" w:rsidP="00B14698">
      <w:r>
        <w:separator/>
      </w:r>
    </w:p>
  </w:endnote>
  <w:endnote w:type="continuationSeparator" w:id="1">
    <w:p w:rsidR="00401A34" w:rsidRDefault="00401A34" w:rsidP="00B1469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56" w:rsidRPr="002D1C56" w:rsidRDefault="00EC70DB" w:rsidP="002D1C56">
    <w:pPr>
      <w:pStyle w:val="Footer"/>
      <w:rPr>
        <w:sz w:val="22"/>
        <w:szCs w:val="22"/>
      </w:rPr>
    </w:pPr>
    <w:sdt>
      <w:sdtPr>
        <w:id w:val="22445268"/>
        <w:docPartObj>
          <w:docPartGallery w:val="Page Numbers (Bottom of Page)"/>
          <w:docPartUnique/>
        </w:docPartObj>
      </w:sdtPr>
      <w:sdtContent>
        <w:r w:rsidR="002D1C56">
          <w:tab/>
        </w:r>
        <w:r w:rsidRPr="002D1C56">
          <w:rPr>
            <w:rFonts w:ascii="Times New Roman" w:hAnsi="Times New Roman" w:cs="Times New Roman"/>
            <w:sz w:val="22"/>
            <w:szCs w:val="22"/>
          </w:rPr>
          <w:fldChar w:fldCharType="begin"/>
        </w:r>
        <w:r w:rsidR="002D1C56" w:rsidRPr="002D1C56">
          <w:rPr>
            <w:rFonts w:ascii="Times New Roman" w:hAnsi="Times New Roman" w:cs="Times New Roman"/>
            <w:sz w:val="22"/>
            <w:szCs w:val="22"/>
          </w:rPr>
          <w:instrText xml:space="preserve"> PAGE   \* MERGEFORMAT </w:instrText>
        </w:r>
        <w:r w:rsidRPr="002D1C56">
          <w:rPr>
            <w:rFonts w:ascii="Times New Roman" w:hAnsi="Times New Roman" w:cs="Times New Roman"/>
            <w:sz w:val="22"/>
            <w:szCs w:val="22"/>
          </w:rPr>
          <w:fldChar w:fldCharType="separate"/>
        </w:r>
        <w:r w:rsidR="005916BF">
          <w:rPr>
            <w:rFonts w:ascii="Times New Roman" w:hAnsi="Times New Roman" w:cs="Times New Roman"/>
            <w:noProof/>
            <w:sz w:val="22"/>
            <w:szCs w:val="22"/>
          </w:rPr>
          <w:t>3</w:t>
        </w:r>
        <w:r w:rsidRPr="002D1C56">
          <w:rPr>
            <w:rFonts w:ascii="Times New Roman" w:hAnsi="Times New Roman" w:cs="Times New Roman"/>
            <w:sz w:val="22"/>
            <w:szCs w:val="22"/>
          </w:rPr>
          <w:fldChar w:fldCharType="end"/>
        </w:r>
      </w:sdtContent>
    </w:sdt>
    <w:r w:rsidR="002D1C56">
      <w:tab/>
    </w:r>
    <w:r w:rsidR="002D1C56" w:rsidRPr="002D1C56">
      <w:rPr>
        <w:rFonts w:ascii="Times New Roman" w:hAnsi="Times New Roman" w:cs="Times New Roman"/>
        <w:sz w:val="22"/>
        <w:szCs w:val="22"/>
      </w:rPr>
      <w:t>SpotLaw</w:t>
    </w:r>
  </w:p>
  <w:p w:rsidR="00B14698" w:rsidRDefault="00B14698">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98" w:rsidRDefault="00EC70DB">
    <w:pPr>
      <w:rPr>
        <w:sz w:val="2"/>
        <w:szCs w:val="2"/>
      </w:rPr>
    </w:pPr>
    <w:r w:rsidRPr="00EC70DB">
      <w:pict>
        <v:shapetype id="_x0000_t202" coordsize="21600,21600" o:spt="202" path="m,l,21600r21600,l21600,xe">
          <v:stroke joinstyle="miter"/>
          <v:path gradientshapeok="t" o:connecttype="rect"/>
        </v:shapetype>
        <v:shape id="_x0000_s1028" type="#_x0000_t202" style="position:absolute;margin-left:486pt;margin-top:842.5pt;width:45.85pt;height:9.35pt;z-index:-188744061;mso-wrap-style:none;mso-wrap-distance-left:5pt;mso-wrap-distance-right:5pt;mso-position-horizontal-relative:page;mso-position-vertical-relative:page" wrapcoords="0 0" filled="f" stroked="f">
          <v:textbox style="mso-next-textbox:#_x0000_s1028;mso-fit-shape-to-text:t" inset="0,0,0,0">
            <w:txbxContent>
              <w:p w:rsidR="00B14698" w:rsidRDefault="00AE7242">
                <w:pPr>
                  <w:pStyle w:val="Headerorfooter0"/>
                  <w:shd w:val="clear" w:color="auto" w:fill="auto"/>
                  <w:spacing w:line="240" w:lineRule="auto"/>
                </w:pPr>
                <w:r>
                  <w:rPr>
                    <w:rStyle w:val="Headerorfooter1"/>
                    <w:b/>
                    <w:bCs/>
                  </w:rPr>
                  <w:t>Page 10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A34" w:rsidRDefault="00401A34"/>
  </w:footnote>
  <w:footnote w:type="continuationSeparator" w:id="1">
    <w:p w:rsidR="00401A34" w:rsidRDefault="00401A3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98" w:rsidRDefault="00EC70DB">
    <w:pPr>
      <w:rPr>
        <w:sz w:val="2"/>
        <w:szCs w:val="2"/>
      </w:rPr>
    </w:pPr>
    <w:r w:rsidRPr="00EC70DB">
      <w:pict>
        <v:shapetype id="_x0000_t202" coordsize="21600,21600" o:spt="202" path="m,l,21600r21600,l21600,xe">
          <v:stroke joinstyle="miter"/>
          <v:path gradientshapeok="t" o:connecttype="rect"/>
        </v:shapetype>
        <v:shape id="_x0000_s1025" type="#_x0000_t202" style="position:absolute;margin-left:301.9pt;margin-top:110.75pt;width:10.1pt;height:7.9pt;z-index:-188744064;mso-wrap-style:none;mso-wrap-distance-left:5pt;mso-wrap-distance-right:5pt;mso-position-horizontal-relative:page;mso-position-vertical-relative:page" wrapcoords="0 0" filled="f" stroked="f">
          <v:textbox style="mso-next-textbox:#_x0000_s1025;mso-fit-shape-to-text:t" inset="0,0,0,0">
            <w:txbxContent>
              <w:p w:rsidR="00B14698" w:rsidRPr="00E8636B" w:rsidRDefault="00B14698" w:rsidP="00E8636B"/>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98" w:rsidRDefault="00EC70DB">
    <w:pPr>
      <w:rPr>
        <w:sz w:val="2"/>
        <w:szCs w:val="2"/>
      </w:rPr>
    </w:pPr>
    <w:r w:rsidRPr="00EC70DB">
      <w:pict>
        <v:shapetype id="_x0000_t202" coordsize="21600,21600" o:spt="202" path="m,l,21600r21600,l21600,xe">
          <v:stroke joinstyle="miter"/>
          <v:path gradientshapeok="t" o:connecttype="rect"/>
        </v:shapetype>
        <v:shape id="_x0000_s1027" type="#_x0000_t202" style="position:absolute;margin-left:301.9pt;margin-top:110.75pt;width:10.1pt;height:7.9pt;z-index:-188744062;mso-wrap-style:none;mso-wrap-distance-left:5pt;mso-wrap-distance-right:5pt;mso-position-horizontal-relative:page;mso-position-vertical-relative:page" wrapcoords="0 0" filled="f" stroked="f">
          <v:textbox style="mso-next-textbox:#_x0000_s1027;mso-fit-shape-to-text:t" inset="0,0,0,0">
            <w:txbxContent>
              <w:p w:rsidR="00B14698" w:rsidRDefault="00EC70DB">
                <w:pPr>
                  <w:pStyle w:val="Headerorfooter0"/>
                  <w:shd w:val="clear" w:color="auto" w:fill="auto"/>
                  <w:spacing w:line="240" w:lineRule="auto"/>
                </w:pPr>
                <w:fldSimple w:instr=" PAGE \* MERGEFORMAT ">
                  <w:r w:rsidR="007D6C1A" w:rsidRPr="007D6C1A">
                    <w:rPr>
                      <w:rStyle w:val="Headerorfooter1"/>
                      <w:b/>
                      <w:bCs/>
                      <w:noProof/>
                    </w:rPr>
                    <w:t>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A4DE8"/>
    <w:multiLevelType w:val="multilevel"/>
    <w:tmpl w:val="C99E579A"/>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B14698"/>
    <w:rsid w:val="002D1C56"/>
    <w:rsid w:val="003A0F83"/>
    <w:rsid w:val="00401A34"/>
    <w:rsid w:val="005916BF"/>
    <w:rsid w:val="00734CFE"/>
    <w:rsid w:val="007D6C1A"/>
    <w:rsid w:val="00AC196B"/>
    <w:rsid w:val="00AE7242"/>
    <w:rsid w:val="00B14698"/>
    <w:rsid w:val="00B86A1A"/>
    <w:rsid w:val="00C70C74"/>
    <w:rsid w:val="00E8636B"/>
    <w:rsid w:val="00EC7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469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4698"/>
    <w:rPr>
      <w:color w:val="0066CC"/>
      <w:u w:val="single"/>
    </w:rPr>
  </w:style>
  <w:style w:type="character" w:customStyle="1" w:styleId="Bodytext2">
    <w:name w:val="Body text (2)_"/>
    <w:basedOn w:val="DefaultParagraphFont"/>
    <w:link w:val="Bodytext20"/>
    <w:rsid w:val="00B14698"/>
    <w:rPr>
      <w:b/>
      <w:bCs/>
      <w:i/>
      <w:iCs/>
      <w:smallCaps w:val="0"/>
      <w:strike w:val="0"/>
      <w:sz w:val="26"/>
      <w:szCs w:val="26"/>
      <w:u w:val="none"/>
    </w:rPr>
  </w:style>
  <w:style w:type="character" w:customStyle="1" w:styleId="Bodytext21">
    <w:name w:val="Body text (2)"/>
    <w:basedOn w:val="Bodytext2"/>
    <w:rsid w:val="00B14698"/>
    <w:rPr>
      <w:rFonts w:ascii="Courier New" w:eastAsia="Courier New" w:hAnsi="Courier New" w:cs="Courier New"/>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B14698"/>
    <w:rPr>
      <w:b/>
      <w:bCs/>
      <w:i w:val="0"/>
      <w:iCs w:val="0"/>
      <w:smallCaps w:val="0"/>
      <w:strike w:val="0"/>
      <w:spacing w:val="20"/>
      <w:sz w:val="19"/>
      <w:szCs w:val="19"/>
      <w:u w:val="none"/>
    </w:rPr>
  </w:style>
  <w:style w:type="character" w:customStyle="1" w:styleId="Headerorfooter1">
    <w:name w:val="Header or footer"/>
    <w:basedOn w:val="Headerorfooter"/>
    <w:rsid w:val="00B14698"/>
    <w:rPr>
      <w:rFonts w:ascii="Courier New" w:eastAsia="Courier New" w:hAnsi="Courier New" w:cs="Courier New"/>
      <w:color w:val="000000"/>
      <w:w w:val="100"/>
      <w:position w:val="0"/>
      <w:lang w:val="en-US" w:eastAsia="en-US" w:bidi="en-US"/>
    </w:rPr>
  </w:style>
  <w:style w:type="character" w:customStyle="1" w:styleId="Bodytext3">
    <w:name w:val="Body text (3)_"/>
    <w:basedOn w:val="DefaultParagraphFont"/>
    <w:link w:val="Bodytext30"/>
    <w:rsid w:val="00B14698"/>
    <w:rPr>
      <w:b/>
      <w:bCs/>
      <w:i w:val="0"/>
      <w:iCs w:val="0"/>
      <w:smallCaps w:val="0"/>
      <w:strike w:val="0"/>
      <w:sz w:val="26"/>
      <w:szCs w:val="26"/>
      <w:u w:val="none"/>
    </w:rPr>
  </w:style>
  <w:style w:type="character" w:customStyle="1" w:styleId="Bodytext31">
    <w:name w:val="Body text (3)"/>
    <w:basedOn w:val="Bodytext3"/>
    <w:rsid w:val="00B14698"/>
    <w:rPr>
      <w:rFonts w:ascii="Courier New" w:eastAsia="Courier New" w:hAnsi="Courier New" w:cs="Courier New"/>
      <w:color w:val="000000"/>
      <w:spacing w:val="0"/>
      <w:w w:val="100"/>
      <w:position w:val="0"/>
      <w:u w:val="single"/>
      <w:lang w:val="en-US" w:eastAsia="en-US" w:bidi="en-US"/>
    </w:rPr>
  </w:style>
  <w:style w:type="character" w:customStyle="1" w:styleId="Bodytext3Spacing-2pt">
    <w:name w:val="Body text (3) + Spacing -2 pt"/>
    <w:basedOn w:val="Bodytext3"/>
    <w:rsid w:val="00B14698"/>
    <w:rPr>
      <w:rFonts w:ascii="Courier New" w:eastAsia="Courier New" w:hAnsi="Courier New" w:cs="Courier New"/>
      <w:color w:val="000000"/>
      <w:spacing w:val="-50"/>
      <w:w w:val="100"/>
      <w:position w:val="0"/>
      <w:lang w:val="en-US" w:eastAsia="en-US" w:bidi="en-US"/>
    </w:rPr>
  </w:style>
  <w:style w:type="character" w:customStyle="1" w:styleId="Bodytext">
    <w:name w:val="Body text_"/>
    <w:basedOn w:val="DefaultParagraphFont"/>
    <w:link w:val="Bodytext0"/>
    <w:rsid w:val="00B14698"/>
    <w:rPr>
      <w:b w:val="0"/>
      <w:bCs w:val="0"/>
      <w:i w:val="0"/>
      <w:iCs w:val="0"/>
      <w:smallCaps w:val="0"/>
      <w:strike w:val="0"/>
      <w:sz w:val="26"/>
      <w:szCs w:val="26"/>
      <w:u w:val="none"/>
    </w:rPr>
  </w:style>
  <w:style w:type="character" w:customStyle="1" w:styleId="BodytextBold">
    <w:name w:val="Body text + Bold"/>
    <w:basedOn w:val="Bodytext"/>
    <w:rsid w:val="00B14698"/>
    <w:rPr>
      <w:rFonts w:ascii="Courier New" w:eastAsia="Courier New" w:hAnsi="Courier New" w:cs="Courier New"/>
      <w:b/>
      <w:bCs/>
      <w:color w:val="000000"/>
      <w:spacing w:val="0"/>
      <w:w w:val="100"/>
      <w:position w:val="0"/>
      <w:lang w:val="en-US" w:eastAsia="en-US" w:bidi="en-US"/>
    </w:rPr>
  </w:style>
  <w:style w:type="character" w:customStyle="1" w:styleId="Bodytext10pt">
    <w:name w:val="Body text + 10 pt"/>
    <w:aliases w:val="Bold,Spacing 1 pt"/>
    <w:basedOn w:val="Bodytext"/>
    <w:rsid w:val="00B14698"/>
    <w:rPr>
      <w:rFonts w:ascii="Courier New" w:eastAsia="Courier New" w:hAnsi="Courier New" w:cs="Courier New"/>
      <w:b/>
      <w:bCs/>
      <w:color w:val="000000"/>
      <w:spacing w:val="20"/>
      <w:w w:val="100"/>
      <w:position w:val="0"/>
      <w:sz w:val="20"/>
      <w:szCs w:val="20"/>
      <w:lang w:val="en-US" w:eastAsia="en-US" w:bidi="en-US"/>
    </w:rPr>
  </w:style>
  <w:style w:type="character" w:customStyle="1" w:styleId="Bodytext1">
    <w:name w:val="Body text"/>
    <w:basedOn w:val="Bodytext"/>
    <w:rsid w:val="00B14698"/>
    <w:rPr>
      <w:rFonts w:ascii="Courier New" w:eastAsia="Courier New" w:hAnsi="Courier New" w:cs="Courier New"/>
      <w:color w:val="000000"/>
      <w:spacing w:val="0"/>
      <w:w w:val="100"/>
      <w:position w:val="0"/>
      <w:lang w:val="en-US" w:eastAsia="en-US" w:bidi="en-US"/>
    </w:rPr>
  </w:style>
  <w:style w:type="character" w:customStyle="1" w:styleId="BodytextBold0">
    <w:name w:val="Body text + Bold"/>
    <w:basedOn w:val="Bodytext"/>
    <w:rsid w:val="00B14698"/>
    <w:rPr>
      <w:rFonts w:ascii="Courier New" w:eastAsia="Courier New" w:hAnsi="Courier New" w:cs="Courier New"/>
      <w:b/>
      <w:bCs/>
      <w:color w:val="000000"/>
      <w:spacing w:val="0"/>
      <w:w w:val="100"/>
      <w:position w:val="0"/>
      <w:lang w:val="en-US" w:eastAsia="en-US" w:bidi="en-US"/>
    </w:rPr>
  </w:style>
  <w:style w:type="paragraph" w:customStyle="1" w:styleId="Bodytext20">
    <w:name w:val="Body text (2)"/>
    <w:basedOn w:val="Normal"/>
    <w:link w:val="Bodytext2"/>
    <w:rsid w:val="00B14698"/>
    <w:pPr>
      <w:shd w:val="clear" w:color="auto" w:fill="FFFFFF"/>
      <w:spacing w:after="420" w:line="0" w:lineRule="atLeast"/>
      <w:jc w:val="right"/>
    </w:pPr>
    <w:rPr>
      <w:b/>
      <w:bCs/>
      <w:i/>
      <w:iCs/>
      <w:sz w:val="26"/>
      <w:szCs w:val="26"/>
    </w:rPr>
  </w:style>
  <w:style w:type="paragraph" w:customStyle="1" w:styleId="Headerorfooter0">
    <w:name w:val="Header or footer"/>
    <w:basedOn w:val="Normal"/>
    <w:link w:val="Headerorfooter"/>
    <w:rsid w:val="00B14698"/>
    <w:pPr>
      <w:shd w:val="clear" w:color="auto" w:fill="FFFFFF"/>
      <w:spacing w:line="0" w:lineRule="atLeast"/>
    </w:pPr>
    <w:rPr>
      <w:b/>
      <w:bCs/>
      <w:spacing w:val="20"/>
      <w:sz w:val="19"/>
      <w:szCs w:val="19"/>
    </w:rPr>
  </w:style>
  <w:style w:type="paragraph" w:customStyle="1" w:styleId="Bodytext30">
    <w:name w:val="Body text (3)"/>
    <w:basedOn w:val="Normal"/>
    <w:link w:val="Bodytext3"/>
    <w:rsid w:val="00B14698"/>
    <w:pPr>
      <w:shd w:val="clear" w:color="auto" w:fill="FFFFFF"/>
      <w:spacing w:before="420" w:after="600" w:line="312" w:lineRule="exact"/>
      <w:jc w:val="center"/>
    </w:pPr>
    <w:rPr>
      <w:b/>
      <w:bCs/>
      <w:sz w:val="26"/>
      <w:szCs w:val="26"/>
    </w:rPr>
  </w:style>
  <w:style w:type="paragraph" w:customStyle="1" w:styleId="Bodytext0">
    <w:name w:val="Body text"/>
    <w:basedOn w:val="Normal"/>
    <w:link w:val="Bodytext"/>
    <w:rsid w:val="00B14698"/>
    <w:pPr>
      <w:shd w:val="clear" w:color="auto" w:fill="FFFFFF"/>
      <w:spacing w:before="720" w:line="624" w:lineRule="exact"/>
    </w:pPr>
    <w:rPr>
      <w:sz w:val="26"/>
      <w:szCs w:val="26"/>
    </w:rPr>
  </w:style>
  <w:style w:type="paragraph" w:styleId="Header">
    <w:name w:val="header"/>
    <w:basedOn w:val="Normal"/>
    <w:link w:val="HeaderChar"/>
    <w:uiPriority w:val="99"/>
    <w:semiHidden/>
    <w:unhideWhenUsed/>
    <w:rsid w:val="00E8636B"/>
    <w:pPr>
      <w:tabs>
        <w:tab w:val="center" w:pos="4680"/>
        <w:tab w:val="right" w:pos="9360"/>
      </w:tabs>
    </w:pPr>
  </w:style>
  <w:style w:type="character" w:customStyle="1" w:styleId="HeaderChar">
    <w:name w:val="Header Char"/>
    <w:basedOn w:val="DefaultParagraphFont"/>
    <w:link w:val="Header"/>
    <w:uiPriority w:val="99"/>
    <w:semiHidden/>
    <w:rsid w:val="00E8636B"/>
    <w:rPr>
      <w:color w:val="000000"/>
    </w:rPr>
  </w:style>
  <w:style w:type="paragraph" w:styleId="Footer">
    <w:name w:val="footer"/>
    <w:basedOn w:val="Normal"/>
    <w:link w:val="FooterChar"/>
    <w:uiPriority w:val="99"/>
    <w:unhideWhenUsed/>
    <w:rsid w:val="00E8636B"/>
    <w:pPr>
      <w:tabs>
        <w:tab w:val="center" w:pos="4680"/>
        <w:tab w:val="right" w:pos="9360"/>
      </w:tabs>
    </w:pPr>
  </w:style>
  <w:style w:type="character" w:customStyle="1" w:styleId="FooterChar">
    <w:name w:val="Footer Char"/>
    <w:basedOn w:val="DefaultParagraphFont"/>
    <w:link w:val="Footer"/>
    <w:uiPriority w:val="99"/>
    <w:rsid w:val="00E8636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REPORTABLE</vt:lpstr>
    </vt:vector>
  </TitlesOfParts>
  <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REPORTABLE</dc:title>
  <dc:creator>admin</dc:creator>
  <cp:lastModifiedBy>admin</cp:lastModifiedBy>
  <cp:revision>6</cp:revision>
  <dcterms:created xsi:type="dcterms:W3CDTF">2016-01-12T11:03:00Z</dcterms:created>
  <dcterms:modified xsi:type="dcterms:W3CDTF">2016-02-04T08:48:00Z</dcterms:modified>
</cp:coreProperties>
</file>