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BE" w:rsidRDefault="00FC4BBE" w:rsidP="00FC4BBE">
      <w:pPr>
        <w:spacing w:after="0" w:line="240" w:lineRule="auto"/>
        <w:jc w:val="center"/>
        <w:rPr>
          <w:rFonts w:ascii="Times New Roman" w:eastAsia="Times New Roman" w:hAnsi="Times New Roman" w:cs="Times New Roman"/>
          <w:b/>
          <w:bCs/>
          <w:sz w:val="25"/>
          <w:szCs w:val="25"/>
        </w:rPr>
      </w:pPr>
      <w:r w:rsidRPr="00FC4BBE">
        <w:rPr>
          <w:rFonts w:ascii="Times New Roman" w:eastAsia="Times New Roman" w:hAnsi="Times New Roman" w:cs="Times New Roman"/>
          <w:b/>
          <w:bCs/>
          <w:sz w:val="25"/>
          <w:szCs w:val="25"/>
        </w:rPr>
        <w:t>SUPREME COURT OF INDIA</w:t>
      </w:r>
    </w:p>
    <w:p w:rsidR="00FC4BBE" w:rsidRDefault="00FC4BBE" w:rsidP="00FC4BBE">
      <w:pPr>
        <w:spacing w:after="0" w:line="240" w:lineRule="auto"/>
        <w:jc w:val="center"/>
        <w:rPr>
          <w:rFonts w:ascii="Times New Roman" w:eastAsia="Times New Roman" w:hAnsi="Times New Roman" w:cs="Times New Roman"/>
          <w:b/>
          <w:bCs/>
          <w:sz w:val="25"/>
          <w:szCs w:val="25"/>
        </w:rPr>
      </w:pPr>
    </w:p>
    <w:p w:rsidR="00FC4BBE" w:rsidRDefault="00FC4BBE" w:rsidP="00FC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FC4BBE">
        <w:rPr>
          <w:rFonts w:ascii="Times New Roman" w:eastAsia="Times New Roman" w:hAnsi="Times New Roman" w:cs="Times New Roman"/>
          <w:sz w:val="25"/>
          <w:szCs w:val="25"/>
        </w:rPr>
        <w:t xml:space="preserve">Inderjeet Arya </w:t>
      </w:r>
    </w:p>
    <w:p w:rsidR="004B6C14" w:rsidRPr="00FC4BBE" w:rsidRDefault="004B6C14" w:rsidP="00FC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C4BBE" w:rsidRPr="00FC4BBE" w:rsidRDefault="00FC4BBE" w:rsidP="00FC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FC4BBE">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FC4BBE" w:rsidRPr="00FC4BBE" w:rsidRDefault="00FC4BBE" w:rsidP="00FC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C4BBE" w:rsidRDefault="00FC4BBE" w:rsidP="00FC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FC4BBE">
        <w:rPr>
          <w:rFonts w:ascii="Times New Roman" w:eastAsia="Times New Roman" w:hAnsi="Times New Roman" w:cs="Times New Roman"/>
          <w:sz w:val="25"/>
          <w:szCs w:val="25"/>
        </w:rPr>
        <w:t>ICICI Bank Limited</w:t>
      </w:r>
    </w:p>
    <w:p w:rsidR="00FC4BBE" w:rsidRDefault="00FC4BBE" w:rsidP="00FC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C4BBE" w:rsidRDefault="00FC4BBE" w:rsidP="00FC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C.A.No.11029 of </w:t>
      </w:r>
      <w:r w:rsidRPr="00FC4BBE">
        <w:rPr>
          <w:rFonts w:ascii="Times New Roman" w:eastAsia="Times New Roman" w:hAnsi="Times New Roman" w:cs="Times New Roman"/>
          <w:sz w:val="25"/>
          <w:szCs w:val="25"/>
        </w:rPr>
        <w:t>2013</w:t>
      </w:r>
    </w:p>
    <w:p w:rsidR="00FC4BBE" w:rsidRDefault="00FC4BBE" w:rsidP="00FC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C4BBE" w:rsidRDefault="00FC4BBE" w:rsidP="00FC4BBE">
      <w:pPr>
        <w:spacing w:after="0" w:line="240" w:lineRule="auto"/>
        <w:jc w:val="center"/>
        <w:rPr>
          <w:rFonts w:ascii="Times New Roman" w:eastAsia="Times New Roman" w:hAnsi="Times New Roman" w:cs="Times New Roman"/>
          <w:bCs/>
          <w:sz w:val="25"/>
          <w:szCs w:val="25"/>
        </w:rPr>
      </w:pPr>
      <w:r w:rsidRPr="00FC4BBE">
        <w:rPr>
          <w:rFonts w:ascii="Times New Roman" w:eastAsia="Times New Roman" w:hAnsi="Times New Roman" w:cs="Times New Roman"/>
          <w:bCs/>
          <w:sz w:val="25"/>
          <w:szCs w:val="25"/>
        </w:rPr>
        <w:t>(K.S. Radhakrishnan and A.K. Sikri, JJ.)</w:t>
      </w:r>
    </w:p>
    <w:p w:rsidR="00FC4BBE" w:rsidRDefault="00FC4BBE" w:rsidP="00FC4BBE">
      <w:pPr>
        <w:spacing w:after="0" w:line="240" w:lineRule="auto"/>
        <w:jc w:val="center"/>
        <w:rPr>
          <w:rFonts w:ascii="Times New Roman" w:eastAsia="Times New Roman" w:hAnsi="Times New Roman" w:cs="Times New Roman"/>
          <w:bCs/>
          <w:sz w:val="25"/>
          <w:szCs w:val="25"/>
        </w:rPr>
      </w:pPr>
    </w:p>
    <w:p w:rsidR="00FC4BBE" w:rsidRDefault="00FC4BBE" w:rsidP="00FC4BB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13.12.2013</w:t>
      </w:r>
    </w:p>
    <w:p w:rsidR="00FC4BBE" w:rsidRDefault="00FC4BBE" w:rsidP="00FC4BBE">
      <w:pPr>
        <w:spacing w:after="0" w:line="240" w:lineRule="auto"/>
        <w:jc w:val="center"/>
        <w:rPr>
          <w:rFonts w:ascii="Times New Roman" w:eastAsia="Times New Roman" w:hAnsi="Times New Roman" w:cs="Times New Roman"/>
          <w:bCs/>
          <w:sz w:val="25"/>
          <w:szCs w:val="25"/>
        </w:rPr>
      </w:pPr>
    </w:p>
    <w:p w:rsidR="00FC4BBE" w:rsidRPr="00FC4BBE" w:rsidRDefault="00FC4BBE" w:rsidP="00FC4BB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
          <w:sz w:val="25"/>
          <w:szCs w:val="25"/>
        </w:rPr>
        <w:t>JUDGMEN</w:t>
      </w:r>
      <w:r w:rsidRPr="00FC4BBE">
        <w:rPr>
          <w:rFonts w:ascii="Times New Roman" w:eastAsia="Times New Roman" w:hAnsi="Times New Roman" w:cs="Times New Roman"/>
          <w:b/>
          <w:sz w:val="25"/>
          <w:szCs w:val="25"/>
        </w:rPr>
        <w:t>T</w:t>
      </w:r>
    </w:p>
    <w:p w:rsidR="00FC4BBE" w:rsidRPr="00FC4BBE" w:rsidRDefault="00FC4BBE" w:rsidP="00FC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FC4BBE" w:rsidRDefault="00FC4BBE" w:rsidP="00FC4BBE">
      <w:pPr>
        <w:spacing w:after="0" w:line="24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K.S.</w:t>
      </w:r>
      <w:r w:rsidRPr="00FC4BBE">
        <w:rPr>
          <w:rFonts w:ascii="Times New Roman" w:eastAsia="Times New Roman" w:hAnsi="Times New Roman" w:cs="Times New Roman"/>
          <w:b/>
          <w:sz w:val="25"/>
          <w:szCs w:val="25"/>
        </w:rPr>
        <w:t>Radhakrishnan, J.</w:t>
      </w:r>
    </w:p>
    <w:p w:rsidR="00FC4BBE" w:rsidRPr="00FC4BBE" w:rsidRDefault="00FC4BBE" w:rsidP="00FC4BBE">
      <w:pPr>
        <w:spacing w:after="0" w:line="240" w:lineRule="auto"/>
        <w:rPr>
          <w:rFonts w:ascii="Times New Roman" w:eastAsia="Times New Roman" w:hAnsi="Times New Roman" w:cs="Times New Roman"/>
          <w:b/>
          <w:sz w:val="25"/>
          <w:szCs w:val="25"/>
        </w:rPr>
      </w:pPr>
    </w:p>
    <w:p w:rsidR="00FC4BBE" w:rsidRDefault="00FC4BBE" w:rsidP="00FC4BB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FC4BBE">
        <w:rPr>
          <w:rFonts w:ascii="Times New Roman" w:eastAsia="Times New Roman" w:hAnsi="Times New Roman" w:cs="Times New Roman"/>
          <w:sz w:val="25"/>
          <w:szCs w:val="25"/>
        </w:rPr>
        <w:t>Leave granted.</w:t>
      </w:r>
    </w:p>
    <w:p w:rsidR="00FC4BBE" w:rsidRPr="00FC4BBE" w:rsidRDefault="00FC4BBE" w:rsidP="00FC4BBE">
      <w:pPr>
        <w:spacing w:after="0" w:line="240" w:lineRule="auto"/>
        <w:jc w:val="both"/>
        <w:rPr>
          <w:rFonts w:ascii="Times New Roman" w:eastAsia="Times New Roman" w:hAnsi="Times New Roman" w:cs="Times New Roman"/>
          <w:sz w:val="25"/>
          <w:szCs w:val="25"/>
        </w:rPr>
      </w:pPr>
    </w:p>
    <w:p w:rsidR="00FC4BBE" w:rsidRDefault="00FC4BBE" w:rsidP="00FC4BBE">
      <w:pPr>
        <w:spacing w:after="0" w:line="240" w:lineRule="auto"/>
        <w:jc w:val="both"/>
        <w:rPr>
          <w:rFonts w:ascii="Times New Roman" w:eastAsia="Times New Roman" w:hAnsi="Times New Roman" w:cs="Times New Roman"/>
          <w:sz w:val="25"/>
          <w:szCs w:val="25"/>
        </w:rPr>
      </w:pPr>
      <w:r w:rsidRPr="00FC4BBE">
        <w:rPr>
          <w:rFonts w:ascii="Times New Roman" w:eastAsia="Times New Roman" w:hAnsi="Times New Roman" w:cs="Times New Roman"/>
          <w:sz w:val="25"/>
          <w:szCs w:val="25"/>
        </w:rPr>
        <w:t>2. We are, in this case, concerned with the question whether the appellants who are Directors and Guarantors of a sick company and are entitled to get the protection of </w:t>
      </w:r>
      <w:hyperlink r:id="rId6" w:history="1">
        <w:r w:rsidRPr="00FC4BBE">
          <w:rPr>
            <w:rFonts w:ascii="Times New Roman" w:eastAsia="Times New Roman" w:hAnsi="Times New Roman" w:cs="Times New Roman"/>
            <w:sz w:val="25"/>
            <w:szCs w:val="25"/>
          </w:rPr>
          <w:t>Section 22(1)</w:t>
        </w:r>
      </w:hyperlink>
      <w:r w:rsidRPr="00FC4BBE">
        <w:rPr>
          <w:rFonts w:ascii="Times New Roman" w:eastAsia="Times New Roman" w:hAnsi="Times New Roman" w:cs="Times New Roman"/>
          <w:sz w:val="25"/>
          <w:szCs w:val="25"/>
        </w:rPr>
        <w:t> of the Sick Industrial Companies (Special Provisions) Act, 1985 (for short “the SICA).</w:t>
      </w:r>
    </w:p>
    <w:p w:rsidR="00FC4BBE" w:rsidRPr="00FC4BBE" w:rsidRDefault="00FC4BBE" w:rsidP="00FC4BBE">
      <w:pPr>
        <w:spacing w:after="0" w:line="240" w:lineRule="auto"/>
        <w:jc w:val="both"/>
        <w:rPr>
          <w:rFonts w:ascii="Times New Roman" w:eastAsia="Times New Roman" w:hAnsi="Times New Roman" w:cs="Times New Roman"/>
          <w:sz w:val="25"/>
          <w:szCs w:val="25"/>
        </w:rPr>
      </w:pPr>
    </w:p>
    <w:p w:rsidR="00FC4BBE" w:rsidRDefault="00FC4BBE" w:rsidP="00FC4BBE">
      <w:pPr>
        <w:spacing w:after="0" w:line="240" w:lineRule="auto"/>
        <w:jc w:val="both"/>
        <w:rPr>
          <w:rFonts w:ascii="Times New Roman" w:eastAsia="Times New Roman" w:hAnsi="Times New Roman" w:cs="Times New Roman"/>
          <w:sz w:val="25"/>
          <w:szCs w:val="25"/>
        </w:rPr>
      </w:pPr>
      <w:r w:rsidRPr="00FC4BBE">
        <w:rPr>
          <w:rFonts w:ascii="Times New Roman" w:eastAsia="Times New Roman" w:hAnsi="Times New Roman" w:cs="Times New Roman"/>
          <w:sz w:val="25"/>
          <w:szCs w:val="25"/>
        </w:rPr>
        <w:t>3. M/s Rajat Pharmachem Pvt. Ltd. (RPL) was engaged in the business of manufacturing, trading and export of generic pharmaceuticals formulations and products. First appellant is the Chairman-cum-Director of RPL, while second appellant is its Director. The Bank of Rajasthan, prior to its amalgamation with the respondent–ICICI Bank Limited, instituted recovery proceedings in the Debt Recovery Tribunal (DRT), Delhi and the same was registered as OA No.118 of 2009. In those proceedings, the State Trading Corporation of India Ltd. (STC) was defendant No.1, while RPL along with its Directors and Guarantors were arrayed as Defendant Nos.2, 3 and 4 respectively. By way of recovery proceedings, Bank of Rajasthan (Now ICICI Bank) sought recovery of Rs.26,55,35,824.50 which included interest to the tune of Rs.2,79,43,736/- till the date of institution of action in DRT. Future interest @ 18% per annum was also sought. RPL apprehending institution of recovery proceedings took steps seeking registration of its reference under </w:t>
      </w:r>
      <w:hyperlink r:id="rId7" w:history="1">
        <w:r w:rsidRPr="00FC4BBE">
          <w:rPr>
            <w:rFonts w:ascii="Times New Roman" w:eastAsia="Times New Roman" w:hAnsi="Times New Roman" w:cs="Times New Roman"/>
            <w:sz w:val="25"/>
            <w:szCs w:val="25"/>
          </w:rPr>
          <w:t>Section 15</w:t>
        </w:r>
      </w:hyperlink>
      <w:r w:rsidRPr="00FC4BBE">
        <w:rPr>
          <w:rFonts w:ascii="Times New Roman" w:eastAsia="Times New Roman" w:hAnsi="Times New Roman" w:cs="Times New Roman"/>
          <w:sz w:val="25"/>
          <w:szCs w:val="25"/>
        </w:rPr>
        <w:t> of the SICA. Later Board for Industrial and Financial Reconstruction (BIFR) intimated its registration and accorded Case No.14 of 2009.</w:t>
      </w:r>
    </w:p>
    <w:p w:rsidR="00FC4BBE" w:rsidRPr="00FC4BBE" w:rsidRDefault="00FC4BBE" w:rsidP="00FC4BBE">
      <w:pPr>
        <w:spacing w:after="0" w:line="240" w:lineRule="auto"/>
        <w:jc w:val="both"/>
        <w:rPr>
          <w:rFonts w:ascii="Times New Roman" w:eastAsia="Times New Roman" w:hAnsi="Times New Roman" w:cs="Times New Roman"/>
          <w:sz w:val="25"/>
          <w:szCs w:val="25"/>
        </w:rPr>
      </w:pPr>
    </w:p>
    <w:p w:rsidR="00FC4BBE" w:rsidRDefault="00FC4BBE" w:rsidP="00FC4BBE">
      <w:pPr>
        <w:spacing w:after="0" w:line="240" w:lineRule="auto"/>
        <w:jc w:val="both"/>
        <w:rPr>
          <w:rFonts w:ascii="Times New Roman" w:eastAsia="Times New Roman" w:hAnsi="Times New Roman" w:cs="Times New Roman"/>
          <w:sz w:val="25"/>
          <w:szCs w:val="25"/>
        </w:rPr>
      </w:pPr>
      <w:r w:rsidRPr="00FC4BBE">
        <w:rPr>
          <w:rFonts w:ascii="Times New Roman" w:eastAsia="Times New Roman" w:hAnsi="Times New Roman" w:cs="Times New Roman"/>
          <w:sz w:val="25"/>
          <w:szCs w:val="25"/>
        </w:rPr>
        <w:t>4. The Bank instituted Original Application OA No.118 of 2009 in DRT on 13.05.2009. In the recovery proceedings notices were issued by the DRT to all the defendants, which included the appellants as well. On 14.12.2009 the appellant, along with RPL preferred an application under Section SICA which was registered as OA No.1046 of 2009. They sought dismissal of IA since the same was filed without prior permission of the Appellate Authority for Industrial and Financial Reconstruction (for short “AAIFR”)/BIFR in terms of </w:t>
      </w:r>
      <w:hyperlink r:id="rId8" w:history="1">
        <w:r w:rsidRPr="00FC4BBE">
          <w:rPr>
            <w:rFonts w:ascii="Times New Roman" w:eastAsia="Times New Roman" w:hAnsi="Times New Roman" w:cs="Times New Roman"/>
            <w:sz w:val="25"/>
            <w:szCs w:val="25"/>
          </w:rPr>
          <w:t xml:space="preserve">Section </w:t>
        </w:r>
        <w:r w:rsidRPr="00FC4BBE">
          <w:rPr>
            <w:rFonts w:ascii="Times New Roman" w:eastAsia="Times New Roman" w:hAnsi="Times New Roman" w:cs="Times New Roman"/>
            <w:sz w:val="25"/>
            <w:szCs w:val="25"/>
          </w:rPr>
          <w:lastRenderedPageBreak/>
          <w:t>22(1)</w:t>
        </w:r>
      </w:hyperlink>
      <w:r w:rsidRPr="00FC4BBE">
        <w:rPr>
          <w:rFonts w:ascii="Times New Roman" w:eastAsia="Times New Roman" w:hAnsi="Times New Roman" w:cs="Times New Roman"/>
          <w:sz w:val="25"/>
          <w:szCs w:val="25"/>
        </w:rPr>
        <w:t> of SICA. The DRT took the view that the execution of the decree had to be kept in abeyance until the question whether the guarantors were entitled to protection under </w:t>
      </w:r>
      <w:hyperlink r:id="rId9" w:history="1">
        <w:r w:rsidRPr="00FC4BBE">
          <w:rPr>
            <w:rFonts w:ascii="Times New Roman" w:eastAsia="Times New Roman" w:hAnsi="Times New Roman" w:cs="Times New Roman"/>
            <w:sz w:val="25"/>
            <w:szCs w:val="25"/>
          </w:rPr>
          <w:t>Section 22(1)</w:t>
        </w:r>
      </w:hyperlink>
      <w:r w:rsidRPr="00FC4BBE">
        <w:rPr>
          <w:rFonts w:ascii="Times New Roman" w:eastAsia="Times New Roman" w:hAnsi="Times New Roman" w:cs="Times New Roman"/>
          <w:sz w:val="25"/>
          <w:szCs w:val="25"/>
        </w:rPr>
        <w:t> of SICA stood decided by the Apex Court. On appeal, the DRAT set aside the order passed by the DRT. The matter was ultimately brought to the High Court wherein the correctness of the two orders passed by the DRAT on 29.08.2011 in OA No.118 of 2009 and the orders dated 30.05.2011 and 03.05.2010 passed by the DRT were examined.</w:t>
      </w:r>
    </w:p>
    <w:p w:rsidR="00FC4BBE" w:rsidRPr="00FC4BBE" w:rsidRDefault="00FC4BBE" w:rsidP="00FC4BBE">
      <w:pPr>
        <w:spacing w:after="0" w:line="240" w:lineRule="auto"/>
        <w:jc w:val="both"/>
        <w:rPr>
          <w:rFonts w:ascii="Times New Roman" w:eastAsia="Times New Roman" w:hAnsi="Times New Roman" w:cs="Times New Roman"/>
          <w:sz w:val="25"/>
          <w:szCs w:val="25"/>
        </w:rPr>
      </w:pPr>
    </w:p>
    <w:p w:rsidR="00FC4BBE" w:rsidRDefault="00FC4BBE" w:rsidP="00FC4BBE">
      <w:pPr>
        <w:spacing w:after="0" w:line="240" w:lineRule="auto"/>
        <w:jc w:val="both"/>
        <w:rPr>
          <w:rFonts w:ascii="Times New Roman" w:eastAsia="Times New Roman" w:hAnsi="Times New Roman" w:cs="Times New Roman"/>
          <w:sz w:val="25"/>
          <w:szCs w:val="25"/>
        </w:rPr>
      </w:pPr>
      <w:r w:rsidRPr="00FC4BBE">
        <w:rPr>
          <w:rFonts w:ascii="Times New Roman" w:eastAsia="Times New Roman" w:hAnsi="Times New Roman" w:cs="Times New Roman"/>
          <w:sz w:val="25"/>
          <w:szCs w:val="25"/>
        </w:rPr>
        <w:t>5. The primary issue that came for consideration before the High Court was whether the protection under </w:t>
      </w:r>
      <w:hyperlink r:id="rId10" w:history="1">
        <w:r w:rsidRPr="00FC4BBE">
          <w:rPr>
            <w:rFonts w:ascii="Times New Roman" w:eastAsia="Times New Roman" w:hAnsi="Times New Roman" w:cs="Times New Roman"/>
            <w:sz w:val="25"/>
            <w:szCs w:val="25"/>
          </w:rPr>
          <w:t>Section 22(1)</w:t>
        </w:r>
      </w:hyperlink>
      <w:r w:rsidRPr="00FC4BBE">
        <w:rPr>
          <w:rFonts w:ascii="Times New Roman" w:eastAsia="Times New Roman" w:hAnsi="Times New Roman" w:cs="Times New Roman"/>
          <w:sz w:val="25"/>
          <w:szCs w:val="25"/>
        </w:rPr>
        <w:t> of SICA can be extended to the appellants in their capacity as guarantors of debt owned by RPL. The High Court upheld the judgment dated 19.08.2011 passed by the DRAT and the orders dated 30.05.2011 and 03.05.2010 passed by the DRT. The High Court also held that the protection of </w:t>
      </w:r>
      <w:hyperlink r:id="rId11" w:history="1">
        <w:r w:rsidRPr="00FC4BBE">
          <w:rPr>
            <w:rFonts w:ascii="Times New Roman" w:eastAsia="Times New Roman" w:hAnsi="Times New Roman" w:cs="Times New Roman"/>
            <w:sz w:val="25"/>
            <w:szCs w:val="25"/>
          </w:rPr>
          <w:t>Section 22(1)</w:t>
        </w:r>
      </w:hyperlink>
      <w:r w:rsidRPr="00FC4BBE">
        <w:rPr>
          <w:rFonts w:ascii="Times New Roman" w:eastAsia="Times New Roman" w:hAnsi="Times New Roman" w:cs="Times New Roman"/>
          <w:sz w:val="25"/>
          <w:szCs w:val="25"/>
        </w:rPr>
        <w:t> of SICA would not be available to the appellants who are Directors and Guarantors of sick industrial company, in view of the Judgments rendered by this Court in </w:t>
      </w:r>
      <w:hyperlink r:id="rId12" w:history="1">
        <w:r w:rsidRPr="00FC4BBE">
          <w:rPr>
            <w:rFonts w:ascii="Times New Roman" w:eastAsia="Times New Roman" w:hAnsi="Times New Roman" w:cs="Times New Roman"/>
            <w:i/>
            <w:sz w:val="25"/>
            <w:szCs w:val="25"/>
          </w:rPr>
          <w:t>Kailash Nath Agarwal and others vs. Pradeshiya Industrial &amp; Investment Corporation of U.P. Ltd. And another</w:t>
        </w:r>
      </w:hyperlink>
      <w:r w:rsidRPr="004D0877">
        <w:rPr>
          <w:rFonts w:ascii="Times New Roman" w:eastAsia="Times New Roman" w:hAnsi="Times New Roman" w:cs="Times New Roman"/>
          <w:i/>
          <w:sz w:val="20"/>
          <w:szCs w:val="20"/>
          <w:vertAlign w:val="superscript"/>
        </w:rPr>
        <w:t>1</w:t>
      </w:r>
      <w:r w:rsidRPr="00FC4BBE">
        <w:rPr>
          <w:rFonts w:ascii="Times New Roman" w:eastAsia="Times New Roman" w:hAnsi="Times New Roman" w:cs="Times New Roman"/>
          <w:sz w:val="25"/>
          <w:szCs w:val="25"/>
        </w:rPr>
        <w:t> </w:t>
      </w:r>
      <w:r w:rsidRPr="00FC4BBE">
        <w:rPr>
          <w:rFonts w:ascii="Times New Roman" w:eastAsia="Times New Roman" w:hAnsi="Times New Roman" w:cs="Times New Roman"/>
          <w:i/>
          <w:sz w:val="25"/>
          <w:szCs w:val="25"/>
        </w:rPr>
        <w:t>, </w:t>
      </w:r>
      <w:hyperlink r:id="rId13" w:history="1">
        <w:r w:rsidRPr="00FC4BBE">
          <w:rPr>
            <w:rFonts w:ascii="Times New Roman" w:eastAsia="Times New Roman" w:hAnsi="Times New Roman" w:cs="Times New Roman"/>
            <w:i/>
            <w:sz w:val="25"/>
            <w:szCs w:val="25"/>
          </w:rPr>
          <w:t>KSL and Industries Limited vs. Arihant Threads Limited and others</w:t>
        </w:r>
      </w:hyperlink>
      <w:r w:rsidRPr="004D0877">
        <w:rPr>
          <w:rFonts w:ascii="Times New Roman" w:eastAsia="Times New Roman" w:hAnsi="Times New Roman" w:cs="Times New Roman"/>
          <w:sz w:val="20"/>
          <w:szCs w:val="20"/>
          <w:vertAlign w:val="superscript"/>
        </w:rPr>
        <w:t>2</w:t>
      </w:r>
      <w:r w:rsidR="0060095F">
        <w:rPr>
          <w:rFonts w:ascii="Times New Roman" w:eastAsia="Times New Roman" w:hAnsi="Times New Roman" w:cs="Times New Roman"/>
          <w:sz w:val="25"/>
          <w:szCs w:val="25"/>
          <w:vertAlign w:val="superscript"/>
        </w:rPr>
        <w:t xml:space="preserve"> </w:t>
      </w:r>
      <w:r w:rsidRPr="00FC4BBE">
        <w:rPr>
          <w:rFonts w:ascii="Times New Roman" w:eastAsia="Times New Roman" w:hAnsi="Times New Roman" w:cs="Times New Roman"/>
          <w:sz w:val="25"/>
          <w:szCs w:val="25"/>
        </w:rPr>
        <w:t>and </w:t>
      </w:r>
      <w:hyperlink r:id="rId14" w:history="1">
        <w:r w:rsidRPr="00FC4BBE">
          <w:rPr>
            <w:rFonts w:ascii="Times New Roman" w:eastAsia="Times New Roman" w:hAnsi="Times New Roman" w:cs="Times New Roman"/>
            <w:i/>
            <w:sz w:val="25"/>
            <w:szCs w:val="25"/>
          </w:rPr>
          <w:t>Nahar Industrial Enterprises Limited vs. Hong Kong and Shanghai Banking Corporation</w:t>
        </w:r>
      </w:hyperlink>
      <w:r w:rsidRPr="004D0877">
        <w:rPr>
          <w:rFonts w:ascii="Times New Roman" w:eastAsia="Times New Roman" w:hAnsi="Times New Roman" w:cs="Times New Roman"/>
          <w:i/>
          <w:sz w:val="20"/>
          <w:szCs w:val="20"/>
          <w:vertAlign w:val="superscript"/>
        </w:rPr>
        <w:t>3</w:t>
      </w:r>
      <w:r w:rsidRPr="00FC4BBE">
        <w:rPr>
          <w:rFonts w:ascii="Times New Roman" w:eastAsia="Times New Roman" w:hAnsi="Times New Roman" w:cs="Times New Roman"/>
          <w:i/>
          <w:sz w:val="25"/>
          <w:szCs w:val="25"/>
        </w:rPr>
        <w:t> </w:t>
      </w:r>
      <w:r w:rsidR="004D0877" w:rsidRPr="00FC4BBE">
        <w:rPr>
          <w:rFonts w:ascii="Times New Roman" w:eastAsia="Times New Roman" w:hAnsi="Times New Roman" w:cs="Times New Roman"/>
          <w:sz w:val="25"/>
          <w:szCs w:val="25"/>
        </w:rPr>
        <w:t>etc</w:t>
      </w:r>
      <w:r w:rsidRPr="00FC4BBE">
        <w:rPr>
          <w:rFonts w:ascii="Times New Roman" w:eastAsia="Times New Roman" w:hAnsi="Times New Roman" w:cs="Times New Roman"/>
          <w:sz w:val="25"/>
          <w:szCs w:val="25"/>
        </w:rPr>
        <w:t>. Aggrieved by the same, this special leave petition has been preferred.</w:t>
      </w:r>
    </w:p>
    <w:p w:rsidR="00FC4BBE" w:rsidRPr="00FC4BBE" w:rsidRDefault="00FC4BBE" w:rsidP="00FC4BBE">
      <w:pPr>
        <w:spacing w:after="0" w:line="240" w:lineRule="auto"/>
        <w:jc w:val="both"/>
        <w:rPr>
          <w:rFonts w:ascii="Times New Roman" w:eastAsia="Times New Roman" w:hAnsi="Times New Roman" w:cs="Times New Roman"/>
          <w:sz w:val="25"/>
          <w:szCs w:val="25"/>
        </w:rPr>
      </w:pPr>
    </w:p>
    <w:p w:rsidR="00FC4BBE" w:rsidRDefault="00FC4BBE" w:rsidP="00FC4BBE">
      <w:pPr>
        <w:spacing w:after="0" w:line="240" w:lineRule="auto"/>
        <w:jc w:val="both"/>
        <w:rPr>
          <w:rFonts w:ascii="Times New Roman" w:eastAsia="Times New Roman" w:hAnsi="Times New Roman" w:cs="Times New Roman"/>
          <w:sz w:val="25"/>
          <w:szCs w:val="25"/>
        </w:rPr>
      </w:pPr>
      <w:r w:rsidRPr="00FC4BBE">
        <w:rPr>
          <w:rFonts w:ascii="Times New Roman" w:eastAsia="Times New Roman" w:hAnsi="Times New Roman" w:cs="Times New Roman"/>
          <w:sz w:val="25"/>
          <w:szCs w:val="25"/>
        </w:rPr>
        <w:t>6. We need not labour much to answer the question of law raised in this appeal since, as rightly pointed out by the High Court, the same stands covered by various Judgments of this Court referred to earlier. Appellants, who are the guarantors, can obtain the protection of </w:t>
      </w:r>
      <w:hyperlink r:id="rId15" w:history="1">
        <w:r w:rsidRPr="00FC4BBE">
          <w:rPr>
            <w:rFonts w:ascii="Times New Roman" w:eastAsia="Times New Roman" w:hAnsi="Times New Roman" w:cs="Times New Roman"/>
            <w:sz w:val="25"/>
            <w:szCs w:val="25"/>
          </w:rPr>
          <w:t>Section 22(1)</w:t>
        </w:r>
      </w:hyperlink>
      <w:r w:rsidRPr="00FC4BBE">
        <w:rPr>
          <w:rFonts w:ascii="Times New Roman" w:eastAsia="Times New Roman" w:hAnsi="Times New Roman" w:cs="Times New Roman"/>
          <w:sz w:val="25"/>
          <w:szCs w:val="25"/>
        </w:rPr>
        <w:t>of SICA only if the action filed by the bank comes within the ambit of the term ‘suit’. If the action filed by the respondent bank in the nature of ‘proceedings’ and not a ‘suit’, protection under Section would not be available, especially, when the appellants are guarantors.</w:t>
      </w:r>
    </w:p>
    <w:p w:rsidR="00FC4BBE" w:rsidRPr="00FC4BBE" w:rsidRDefault="00FC4BBE" w:rsidP="00FC4BBE">
      <w:pPr>
        <w:spacing w:after="0" w:line="240" w:lineRule="auto"/>
        <w:jc w:val="both"/>
        <w:rPr>
          <w:rFonts w:ascii="Times New Roman" w:eastAsia="Times New Roman" w:hAnsi="Times New Roman" w:cs="Times New Roman"/>
          <w:sz w:val="25"/>
          <w:szCs w:val="25"/>
        </w:rPr>
      </w:pPr>
    </w:p>
    <w:p w:rsidR="00FC4BBE" w:rsidRDefault="00FC4BBE" w:rsidP="00FC4BBE">
      <w:pPr>
        <w:spacing w:after="0" w:line="240" w:lineRule="auto"/>
        <w:jc w:val="both"/>
        <w:rPr>
          <w:rFonts w:ascii="Times New Roman" w:eastAsia="Times New Roman" w:hAnsi="Times New Roman" w:cs="Times New Roman"/>
          <w:sz w:val="25"/>
          <w:szCs w:val="25"/>
        </w:rPr>
      </w:pPr>
      <w:r w:rsidRPr="00FC4BBE">
        <w:rPr>
          <w:rFonts w:ascii="Times New Roman" w:eastAsia="Times New Roman" w:hAnsi="Times New Roman" w:cs="Times New Roman"/>
          <w:sz w:val="25"/>
          <w:szCs w:val="25"/>
        </w:rPr>
        <w:t xml:space="preserve">7. This Court, in KSL and Industries Limited (supra) took the view that even though both the conflicting statutes SICA and Recovery of Debts Due to Banks and Financial Institutions Act, 1993 (for short the “RDDB”) contain a non-obstante clause, in case of conflict the RDDB Act, 1993 will prevail over SICA, so far as public revenue recoveries are concerned. This Court also emphasized that the liability of surety or guarantor is co-extensive with that of the principal debtor in </w:t>
      </w:r>
      <w:r w:rsidRPr="00FC4BBE">
        <w:rPr>
          <w:rFonts w:ascii="Times New Roman" w:eastAsia="Times New Roman" w:hAnsi="Times New Roman" w:cs="Times New Roman"/>
          <w:i/>
          <w:sz w:val="25"/>
          <w:szCs w:val="25"/>
        </w:rPr>
        <w:t>Kailash Nath Agarwal and others</w:t>
      </w:r>
      <w:r w:rsidRPr="00FC4BBE">
        <w:rPr>
          <w:rFonts w:ascii="Times New Roman" w:eastAsia="Times New Roman" w:hAnsi="Times New Roman" w:cs="Times New Roman"/>
          <w:sz w:val="25"/>
          <w:szCs w:val="25"/>
        </w:rPr>
        <w:t xml:space="preserve"> (supra). In </w:t>
      </w:r>
      <w:r w:rsidRPr="00FC4BBE">
        <w:rPr>
          <w:rFonts w:ascii="Times New Roman" w:eastAsia="Times New Roman" w:hAnsi="Times New Roman" w:cs="Times New Roman"/>
          <w:i/>
          <w:sz w:val="25"/>
          <w:szCs w:val="25"/>
        </w:rPr>
        <w:t>Nahar Industrial</w:t>
      </w:r>
      <w:r w:rsidRPr="00FC4BBE">
        <w:rPr>
          <w:rFonts w:ascii="Times New Roman" w:eastAsia="Times New Roman" w:hAnsi="Times New Roman" w:cs="Times New Roman"/>
          <w:sz w:val="25"/>
          <w:szCs w:val="25"/>
        </w:rPr>
        <w:t xml:space="preserve"> </w:t>
      </w:r>
      <w:r w:rsidRPr="00FC4BBE">
        <w:rPr>
          <w:rFonts w:ascii="Times New Roman" w:eastAsia="Times New Roman" w:hAnsi="Times New Roman" w:cs="Times New Roman"/>
          <w:i/>
          <w:sz w:val="25"/>
          <w:szCs w:val="25"/>
        </w:rPr>
        <w:t>Enterprises Limited</w:t>
      </w:r>
      <w:r w:rsidRPr="00FC4BBE">
        <w:rPr>
          <w:rFonts w:ascii="Times New Roman" w:eastAsia="Times New Roman" w:hAnsi="Times New Roman" w:cs="Times New Roman"/>
          <w:sz w:val="25"/>
          <w:szCs w:val="25"/>
        </w:rPr>
        <w:t xml:space="preserve"> (supra) this Court reiterated the term ‘suit’ have to be confined in the context of sub- section (1) of </w:t>
      </w:r>
      <w:hyperlink r:id="rId16" w:history="1">
        <w:r w:rsidRPr="00FC4BBE">
          <w:rPr>
            <w:rFonts w:ascii="Times New Roman" w:eastAsia="Times New Roman" w:hAnsi="Times New Roman" w:cs="Times New Roman"/>
            <w:sz w:val="25"/>
            <w:szCs w:val="25"/>
          </w:rPr>
          <w:t>Section 22</w:t>
        </w:r>
      </w:hyperlink>
      <w:r w:rsidRPr="00FC4BBE">
        <w:rPr>
          <w:rFonts w:ascii="Times New Roman" w:eastAsia="Times New Roman" w:hAnsi="Times New Roman" w:cs="Times New Roman"/>
          <w:sz w:val="25"/>
          <w:szCs w:val="25"/>
        </w:rPr>
        <w:t> of SICA to those actions which are dealt with under the Code and not in the comprehensive over-arching proceedings so as to apply to any original proceedings before any legal forum. The term ‘suit’ would apply only to proceedings in civil court and not actions or recovery proceedings filed by banks and financial institutions before a tribunal such as DRT.</w:t>
      </w:r>
    </w:p>
    <w:p w:rsidR="00FC4BBE" w:rsidRPr="00FC4BBE" w:rsidRDefault="00FC4BBE" w:rsidP="00FC4BBE">
      <w:pPr>
        <w:spacing w:after="0" w:line="240" w:lineRule="auto"/>
        <w:jc w:val="both"/>
        <w:rPr>
          <w:rFonts w:ascii="Times New Roman" w:eastAsia="Times New Roman" w:hAnsi="Times New Roman" w:cs="Times New Roman"/>
          <w:sz w:val="25"/>
          <w:szCs w:val="25"/>
        </w:rPr>
      </w:pPr>
    </w:p>
    <w:p w:rsidR="00FC4BBE" w:rsidRDefault="00FC4BBE" w:rsidP="00FC4BBE">
      <w:pPr>
        <w:spacing w:after="0" w:line="240" w:lineRule="auto"/>
        <w:jc w:val="both"/>
        <w:rPr>
          <w:rFonts w:ascii="Times New Roman" w:eastAsia="Times New Roman" w:hAnsi="Times New Roman" w:cs="Times New Roman"/>
          <w:sz w:val="25"/>
          <w:szCs w:val="25"/>
        </w:rPr>
      </w:pPr>
      <w:r w:rsidRPr="00FC4BBE">
        <w:rPr>
          <w:rFonts w:ascii="Times New Roman" w:eastAsia="Times New Roman" w:hAnsi="Times New Roman" w:cs="Times New Roman"/>
          <w:sz w:val="25"/>
          <w:szCs w:val="25"/>
        </w:rPr>
        <w:t>8. In our view, all the legal points raised by the appellants stand covered by the Judgments referred to hereinbefore and hence a further examination of the same is unnecessary. The appeal, therefore, lacks merits and the same is dismissed, however, there will be no order as to costs.</w:t>
      </w:r>
    </w:p>
    <w:p w:rsidR="00413154" w:rsidRDefault="00413154" w:rsidP="00FC4BBE">
      <w:pPr>
        <w:spacing w:after="0" w:line="240" w:lineRule="auto"/>
        <w:jc w:val="both"/>
        <w:rPr>
          <w:rFonts w:ascii="Times New Roman" w:eastAsia="Times New Roman" w:hAnsi="Times New Roman" w:cs="Times New Roman"/>
          <w:sz w:val="25"/>
          <w:szCs w:val="25"/>
        </w:rPr>
      </w:pPr>
    </w:p>
    <w:p w:rsidR="00FC4BBE" w:rsidRDefault="00FC4BBE" w:rsidP="00FC4BBE">
      <w:pPr>
        <w:spacing w:after="0" w:line="240" w:lineRule="auto"/>
        <w:jc w:val="both"/>
        <w:rPr>
          <w:rFonts w:ascii="Times New Roman" w:eastAsia="Times New Roman" w:hAnsi="Times New Roman" w:cs="Times New Roman"/>
          <w:i/>
          <w:sz w:val="25"/>
          <w:szCs w:val="25"/>
        </w:rPr>
      </w:pPr>
      <w:r w:rsidRPr="00FC4BBE">
        <w:rPr>
          <w:rFonts w:ascii="Times New Roman" w:eastAsia="Times New Roman" w:hAnsi="Times New Roman" w:cs="Times New Roman"/>
          <w:i/>
          <w:sz w:val="25"/>
          <w:szCs w:val="25"/>
        </w:rPr>
        <w:lastRenderedPageBreak/>
        <w:t>Judgment referred</w:t>
      </w:r>
    </w:p>
    <w:p w:rsidR="00413154" w:rsidRDefault="00413154" w:rsidP="00FC4BBE">
      <w:pPr>
        <w:spacing w:after="0" w:line="240" w:lineRule="auto"/>
        <w:jc w:val="both"/>
        <w:rPr>
          <w:rFonts w:ascii="Times New Roman" w:eastAsia="Times New Roman" w:hAnsi="Times New Roman" w:cs="Times New Roman"/>
          <w:i/>
          <w:sz w:val="25"/>
          <w:szCs w:val="25"/>
        </w:rPr>
      </w:pPr>
    </w:p>
    <w:p w:rsidR="004D0877" w:rsidRDefault="00FC4BBE" w:rsidP="00FC4BBE">
      <w:pPr>
        <w:spacing w:after="0" w:line="240" w:lineRule="auto"/>
        <w:jc w:val="both"/>
        <w:rPr>
          <w:rFonts w:ascii="Times New Roman" w:eastAsia="Times New Roman" w:hAnsi="Times New Roman" w:cs="Times New Roman"/>
          <w:i/>
          <w:sz w:val="20"/>
          <w:szCs w:val="20"/>
        </w:rPr>
      </w:pPr>
      <w:r w:rsidRPr="00FC4BBE">
        <w:rPr>
          <w:rFonts w:ascii="Times New Roman" w:eastAsia="Times New Roman" w:hAnsi="Times New Roman" w:cs="Times New Roman"/>
          <w:i/>
          <w:sz w:val="20"/>
          <w:szCs w:val="20"/>
          <w:vertAlign w:val="superscript"/>
        </w:rPr>
        <w:t>1</w:t>
      </w:r>
      <w:r w:rsidRPr="00FC4BBE">
        <w:rPr>
          <w:rFonts w:ascii="Times New Roman" w:eastAsia="Times New Roman" w:hAnsi="Times New Roman" w:cs="Times New Roman"/>
          <w:i/>
          <w:sz w:val="20"/>
          <w:szCs w:val="20"/>
        </w:rPr>
        <w:t>2003 (4) SCC 0305</w:t>
      </w:r>
    </w:p>
    <w:p w:rsidR="00FC4BBE" w:rsidRPr="00FC4BBE" w:rsidRDefault="00FC4BBE" w:rsidP="00FC4BBE">
      <w:pPr>
        <w:spacing w:after="0" w:line="240" w:lineRule="auto"/>
        <w:jc w:val="both"/>
        <w:rPr>
          <w:rFonts w:ascii="Times New Roman" w:eastAsia="Times New Roman" w:hAnsi="Times New Roman" w:cs="Times New Roman"/>
          <w:i/>
          <w:sz w:val="20"/>
          <w:szCs w:val="20"/>
        </w:rPr>
      </w:pPr>
      <w:r w:rsidRPr="00FC4BBE">
        <w:rPr>
          <w:rFonts w:ascii="Times New Roman" w:eastAsia="Times New Roman" w:hAnsi="Times New Roman" w:cs="Times New Roman"/>
          <w:i/>
          <w:sz w:val="20"/>
          <w:szCs w:val="20"/>
          <w:vertAlign w:val="superscript"/>
        </w:rPr>
        <w:t>2</w:t>
      </w:r>
      <w:r w:rsidRPr="00FC4BBE">
        <w:rPr>
          <w:rFonts w:ascii="Times New Roman" w:eastAsia="Times New Roman" w:hAnsi="Times New Roman" w:cs="Times New Roman"/>
          <w:i/>
          <w:sz w:val="20"/>
          <w:szCs w:val="20"/>
        </w:rPr>
        <w:t xml:space="preserve">2008 (9) SCC 0763 </w:t>
      </w:r>
    </w:p>
    <w:p w:rsidR="00FC4BBE" w:rsidRPr="00FC4BBE" w:rsidRDefault="00FC4BBE" w:rsidP="00FC4BBE">
      <w:pPr>
        <w:spacing w:after="0" w:line="240" w:lineRule="auto"/>
        <w:jc w:val="both"/>
        <w:rPr>
          <w:rFonts w:ascii="Times New Roman" w:eastAsia="Times New Roman" w:hAnsi="Times New Roman" w:cs="Times New Roman"/>
          <w:i/>
          <w:sz w:val="20"/>
          <w:szCs w:val="20"/>
        </w:rPr>
      </w:pPr>
      <w:r w:rsidRPr="00FC4BBE">
        <w:rPr>
          <w:rFonts w:ascii="Times New Roman" w:eastAsia="Times New Roman" w:hAnsi="Times New Roman" w:cs="Times New Roman"/>
          <w:i/>
          <w:sz w:val="20"/>
          <w:szCs w:val="20"/>
          <w:vertAlign w:val="superscript"/>
        </w:rPr>
        <w:t>3</w:t>
      </w:r>
      <w:r w:rsidRPr="00FC4BBE">
        <w:rPr>
          <w:rFonts w:ascii="Times New Roman" w:eastAsia="Times New Roman" w:hAnsi="Times New Roman" w:cs="Times New Roman"/>
          <w:i/>
          <w:sz w:val="20"/>
          <w:szCs w:val="20"/>
        </w:rPr>
        <w:t>2009 (8) SCC 0646</w:t>
      </w:r>
    </w:p>
    <w:p w:rsidR="00C02389" w:rsidRPr="00FC4BBE" w:rsidRDefault="00C02389" w:rsidP="00FC4BBE">
      <w:pPr>
        <w:spacing w:after="0" w:line="240" w:lineRule="auto"/>
        <w:jc w:val="both"/>
        <w:rPr>
          <w:rFonts w:ascii="Times New Roman" w:hAnsi="Times New Roman" w:cs="Times New Roman"/>
          <w:i/>
          <w:sz w:val="20"/>
          <w:szCs w:val="20"/>
        </w:rPr>
      </w:pPr>
    </w:p>
    <w:sectPr w:rsidR="00C02389" w:rsidRPr="00FC4BBE" w:rsidSect="00C02389">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AB8" w:rsidRDefault="005A3AB8" w:rsidP="00FC4BBE">
      <w:pPr>
        <w:spacing w:after="0" w:line="240" w:lineRule="auto"/>
      </w:pPr>
      <w:r>
        <w:separator/>
      </w:r>
    </w:p>
  </w:endnote>
  <w:endnote w:type="continuationSeparator" w:id="1">
    <w:p w:rsidR="005A3AB8" w:rsidRDefault="005A3AB8" w:rsidP="00FC4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BBE" w:rsidRDefault="00BA5842" w:rsidP="00FC4BBE">
    <w:pPr>
      <w:pStyle w:val="Footer"/>
      <w:tabs>
        <w:tab w:val="left" w:pos="8490"/>
      </w:tabs>
    </w:pPr>
    <w:sdt>
      <w:sdtPr>
        <w:id w:val="792844"/>
        <w:docPartObj>
          <w:docPartGallery w:val="Page Numbers (Bottom of Page)"/>
          <w:docPartUnique/>
        </w:docPartObj>
      </w:sdtPr>
      <w:sdtContent>
        <w:r w:rsidR="00FC4BBE">
          <w:tab/>
        </w:r>
        <w:r w:rsidRPr="00FC4BBE">
          <w:rPr>
            <w:rFonts w:ascii="Times New Roman" w:hAnsi="Times New Roman" w:cs="Times New Roman"/>
          </w:rPr>
          <w:fldChar w:fldCharType="begin"/>
        </w:r>
        <w:r w:rsidR="00FC4BBE" w:rsidRPr="00FC4BBE">
          <w:rPr>
            <w:rFonts w:ascii="Times New Roman" w:hAnsi="Times New Roman" w:cs="Times New Roman"/>
          </w:rPr>
          <w:instrText xml:space="preserve"> PAGE   \* MERGEFORMAT </w:instrText>
        </w:r>
        <w:r w:rsidRPr="00FC4BBE">
          <w:rPr>
            <w:rFonts w:ascii="Times New Roman" w:hAnsi="Times New Roman" w:cs="Times New Roman"/>
          </w:rPr>
          <w:fldChar w:fldCharType="separate"/>
        </w:r>
        <w:r w:rsidR="004D0877">
          <w:rPr>
            <w:rFonts w:ascii="Times New Roman" w:hAnsi="Times New Roman" w:cs="Times New Roman"/>
            <w:noProof/>
          </w:rPr>
          <w:t>2</w:t>
        </w:r>
        <w:r w:rsidRPr="00FC4BBE">
          <w:rPr>
            <w:rFonts w:ascii="Times New Roman" w:hAnsi="Times New Roman" w:cs="Times New Roman"/>
          </w:rPr>
          <w:fldChar w:fldCharType="end"/>
        </w:r>
      </w:sdtContent>
    </w:sdt>
    <w:r w:rsidR="00FC4BBE">
      <w:tab/>
    </w:r>
    <w:r w:rsidR="00FC4BBE" w:rsidRPr="00FC4BBE">
      <w:rPr>
        <w:rFonts w:ascii="Times New Roman" w:hAnsi="Times New Roman" w:cs="Times New Roman"/>
      </w:rPr>
      <w:t>SpotLaw</w:t>
    </w:r>
  </w:p>
  <w:p w:rsidR="00FC4BBE" w:rsidRDefault="00FC4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AB8" w:rsidRDefault="005A3AB8" w:rsidP="00FC4BBE">
      <w:pPr>
        <w:spacing w:after="0" w:line="240" w:lineRule="auto"/>
      </w:pPr>
      <w:r>
        <w:separator/>
      </w:r>
    </w:p>
  </w:footnote>
  <w:footnote w:type="continuationSeparator" w:id="1">
    <w:p w:rsidR="005A3AB8" w:rsidRDefault="005A3AB8" w:rsidP="00FC4B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4BBE"/>
    <w:rsid w:val="00413154"/>
    <w:rsid w:val="004B6C14"/>
    <w:rsid w:val="004D0877"/>
    <w:rsid w:val="005A3AB8"/>
    <w:rsid w:val="005B6DD8"/>
    <w:rsid w:val="0060095F"/>
    <w:rsid w:val="0066632D"/>
    <w:rsid w:val="00BA5842"/>
    <w:rsid w:val="00C02389"/>
    <w:rsid w:val="00ED7339"/>
    <w:rsid w:val="00F7323A"/>
    <w:rsid w:val="00FC4B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4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4BBE"/>
    <w:rPr>
      <w:rFonts w:ascii="Courier New" w:eastAsia="Times New Roman" w:hAnsi="Courier New" w:cs="Courier New"/>
      <w:sz w:val="20"/>
      <w:szCs w:val="20"/>
    </w:rPr>
  </w:style>
  <w:style w:type="paragraph" w:styleId="NormalWeb">
    <w:name w:val="Normal (Web)"/>
    <w:basedOn w:val="Normal"/>
    <w:uiPriority w:val="99"/>
    <w:semiHidden/>
    <w:unhideWhenUsed/>
    <w:rsid w:val="00FC4B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4BBE"/>
  </w:style>
  <w:style w:type="character" w:styleId="Hyperlink">
    <w:name w:val="Hyperlink"/>
    <w:basedOn w:val="DefaultParagraphFont"/>
    <w:uiPriority w:val="99"/>
    <w:semiHidden/>
    <w:unhideWhenUsed/>
    <w:rsid w:val="00FC4BBE"/>
    <w:rPr>
      <w:color w:val="0000FF"/>
      <w:u w:val="single"/>
    </w:rPr>
  </w:style>
  <w:style w:type="paragraph" w:styleId="Header">
    <w:name w:val="header"/>
    <w:basedOn w:val="Normal"/>
    <w:link w:val="HeaderChar"/>
    <w:uiPriority w:val="99"/>
    <w:semiHidden/>
    <w:unhideWhenUsed/>
    <w:rsid w:val="00FC4B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4BBE"/>
  </w:style>
  <w:style w:type="paragraph" w:styleId="Footer">
    <w:name w:val="footer"/>
    <w:basedOn w:val="Normal"/>
    <w:link w:val="FooterChar"/>
    <w:uiPriority w:val="99"/>
    <w:unhideWhenUsed/>
    <w:rsid w:val="00FC4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BBE"/>
  </w:style>
  <w:style w:type="paragraph" w:styleId="ListParagraph">
    <w:name w:val="List Paragraph"/>
    <w:basedOn w:val="Normal"/>
    <w:uiPriority w:val="34"/>
    <w:qFormat/>
    <w:rsid w:val="00FC4BBE"/>
    <w:pPr>
      <w:ind w:left="720"/>
      <w:contextualSpacing/>
    </w:pPr>
  </w:style>
</w:styles>
</file>

<file path=word/webSettings.xml><?xml version="1.0" encoding="utf-8"?>
<w:webSettings xmlns:r="http://schemas.openxmlformats.org/officeDocument/2006/relationships" xmlns:w="http://schemas.openxmlformats.org/wordprocessingml/2006/main">
  <w:divs>
    <w:div w:id="863175290">
      <w:bodyDiv w:val="1"/>
      <w:marLeft w:val="0"/>
      <w:marRight w:val="0"/>
      <w:marTop w:val="0"/>
      <w:marBottom w:val="0"/>
      <w:divBdr>
        <w:top w:val="none" w:sz="0" w:space="0" w:color="auto"/>
        <w:left w:val="none" w:sz="0" w:space="0" w:color="auto"/>
        <w:bottom w:val="none" w:sz="0" w:space="0" w:color="auto"/>
        <w:right w:val="none" w:sz="0" w:space="0" w:color="auto"/>
      </w:divBdr>
      <w:divsChild>
        <w:div w:id="789324067">
          <w:marLeft w:val="0"/>
          <w:marRight w:val="0"/>
          <w:marTop w:val="0"/>
          <w:marBottom w:val="150"/>
          <w:divBdr>
            <w:top w:val="none" w:sz="0" w:space="0" w:color="auto"/>
            <w:left w:val="none" w:sz="0" w:space="0" w:color="auto"/>
            <w:bottom w:val="none" w:sz="0" w:space="0" w:color="auto"/>
            <w:right w:val="none" w:sz="0" w:space="0" w:color="auto"/>
          </w:divBdr>
        </w:div>
        <w:div w:id="111066580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62815/" TargetMode="External"/><Relationship Id="rId13" Type="http://schemas.openxmlformats.org/officeDocument/2006/relationships/hyperlink" Target="http://indiankanoon.org/doc/88548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diankanoon.org/doc/199524/" TargetMode="External"/><Relationship Id="rId12" Type="http://schemas.openxmlformats.org/officeDocument/2006/relationships/hyperlink" Target="http://indiankanoon.org/doc/1187237/"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indiankanoon.org/doc/1691689/" TargetMode="External"/><Relationship Id="rId1" Type="http://schemas.openxmlformats.org/officeDocument/2006/relationships/styles" Target="styles.xml"/><Relationship Id="rId6" Type="http://schemas.openxmlformats.org/officeDocument/2006/relationships/hyperlink" Target="http://indiankanoon.org/doc/162815/" TargetMode="External"/><Relationship Id="rId11" Type="http://schemas.openxmlformats.org/officeDocument/2006/relationships/hyperlink" Target="http://indiankanoon.org/doc/162815/" TargetMode="External"/><Relationship Id="rId5" Type="http://schemas.openxmlformats.org/officeDocument/2006/relationships/endnotes" Target="endnotes.xml"/><Relationship Id="rId15" Type="http://schemas.openxmlformats.org/officeDocument/2006/relationships/hyperlink" Target="http://indiankanoon.org/doc/162815/" TargetMode="External"/><Relationship Id="rId10" Type="http://schemas.openxmlformats.org/officeDocument/2006/relationships/hyperlink" Target="http://indiankanoon.org/doc/162815/"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indiankanoon.org/doc/162815/" TargetMode="External"/><Relationship Id="rId14" Type="http://schemas.openxmlformats.org/officeDocument/2006/relationships/hyperlink" Target="http://indiankanoon.org/doc/1155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2016-01-12T05:28:00Z</dcterms:created>
  <dcterms:modified xsi:type="dcterms:W3CDTF">2016-02-04T09:59:00Z</dcterms:modified>
</cp:coreProperties>
</file>