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 xml:space="preserve">       IN THE SUPREME COURT OF INDIA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 xml:space="preserve">                       CRIMINAL APPELLATE JURISDICTION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 xml:space="preserve">                       CRIMINAL APPEAL NO.1220 of 2009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KIRSHNA TEXPORT &amp;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CAPITAL MARKETS LTD.                         …. Appellant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ILA A. AGRAWAL &amp; ORS.                          …. Respondents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Uday Umesh Lalit, J.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1.    This appeal by Special Leave  is  directed  against  the  order  dated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6.5.2008 passed  by  the  High  Court  of  Judicature  at  Bombay  rejecting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Criminal Application No. 2174 of 2007 preferred by the appellant  for  leave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to appeal.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2.     On  14.09.1996  a  notice  under  Section  138  of  the   ‘Negotiable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Instruments Act, 1881’(hereinafter referred to as “the Act”) was  issued  on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behalf of the appellant to M/S Indo French Bio Tech  Enterprises  Ltd  (‘the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Company’ for short).   The notice stated that a cheque  bearing  No.  364776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dated 8.9.1996 drawn by the Company on Dena Bank, New Marine  Lines,  Mumbai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in favour of the  appellant  was  returned  on  10.9.1996  with  endorsement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“funds insufficient”. The notice therefore  called  upon  the  addressee  to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make the payment of the cheque amount within 15 days of the receipt of  such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notice. No reply was sent to the aforesaid notice dated 14.9.1996.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3.    The appellant thereafter filed Complaint Case  No.  243/S/1996  before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the Additional Chief Metropolitan Magistrate, 5th  Court  at  Dadar,  Mumbai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against the Company, Mr. K.J. Bodiwala, the Chairman and  Managing  Director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of the Company and 11 other directors including respondents 1 and 2.  In  so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far as the directors are concerned, it was averred that they were  in-charge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of the business of the Company and its day to day affairs and  were  liable.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During the pendency of said  complaint  case,  the  process  issued  against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Accused Nos. 3 to 5, 7, 9 to 13 was recalled and due to  the  death  of  Mr.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Bodiwala the proceedings as against him also abated, which left the  Company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lastRenderedPageBreak/>
        <w:t>and the present respondents 1 and 2  namely  Ms.  Ila  A.  Agrawal  and  Mr.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Prafulla Ranadive, Accused Nos.  6  and  8  respectively  in  the  array  of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accused.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4.    It was submitted  by  the  appellant  that  separate  notices  to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directors were additionally issued but at the stage of  evidence  it  turned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out that such individual notices to  the  directors  were  with  respect  to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dishonour of a different cheque. The facts as found therefore were  that  no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individual notices were given to the directors. The Metropolitan  Magistrate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by his  judgment  and  order  dated  30.4.2007  convicted  the  Company  but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acquitted respondents 1 and 2 of the offence punishable  under  Section  138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of the Act. Relying on the judgment of the Division  Bench  of  Madras  High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Court in B. Raman &amp; Ors. Vs. M/s. Shasun Chemicals and Drugs  Ltd.  reported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in 2006 Cril. L.J. Page 4552, it was observed that  statutory  notice  under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Section 138 of the Act was required to be issued to every Director  and  for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non- compliance of such mandatory requirement respondents 1 and 2 could  not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be  proceeded against.   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5.    The appellant being aggrieved filed Criminal Application No.  2174  of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2007 in the High Court seeking leave to prefer appeal against  the  judgment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acquitting respondents 1 and 2.  It was submitted that it was not  necessary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to serve individual notice upon the directors and it was sufficient  if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notice was served on the Company. Reliance was placed on the decision  of  a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Single Judge of the Calcutta High  Court  in  the  case  of  Girish  Chandra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Pandey Vs. Kanhaiyalal Chandak and  Ors.  reported  in  1999  ALL  MR  (CRI)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JOURNAL 3, wherein it was held that if the partnership firm failed  to  give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the amount within the stipulated time after receipt of notice, each  partner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need not be served with a separate notice  individually.  So  also  reliance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was placed on the decision of a Single Judge of  Delhi  High  Court  in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case of Jain Associates and Ors. Vs. Deepak Chawdhary &amp; Co. reported  in  80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(1999) DLT 654, wherein it was laid down that Section 141 of  the  Act  does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not require that each and every partner  of  the  firm  is  required  to  be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issued notice.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 xml:space="preserve">      Similar view was taken by High Court of Andhra Pradesh  in  K.  Pannir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Selvan vs. MMTC and another reported in (2000) Cr. L.J. 1002  and  by  Delhi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High Court in Ranjit Tiwari vs. Narender Nayyar reported in  191 (2012)  DLT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318.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6.    The High Court, relying on the  judgment  of  the  Division  Bench  of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Madras High Court B. Raman &amp; Ors. (supra) observed that it was mandatory  to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have issued separate notices to the directors.   The  High  Court  concluded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thus:-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“If the legal fiction is created by Section 141 to make  directors  who  are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responsible for day to day affairs of the Company, punishable under  Section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138, then it is necessary that they  get  an  opportunity  to  rectify,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mistake or clarify matters after service of notice.  So  before  making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complaint against the directors, notice necessarily must be served on  them.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In my opinion without service of notice to accused Nos.  6  &amp;  8,  vicarious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liability of the offence under Section 138 cannot be fixed upon them.”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7.    At this stage the decision of the Division Bench of Madras High  Court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in B. Raman &amp; others (Supra) may also  be  referred  to.   Para  2  of  said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decision sets out that the matter was referred to the Division  Bench  as  a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result of divergent views taken by Single Judges of the Court. Paras 25  and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26 of the decision are as under:-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“25.  Under Section 141 (1), the persons in charge  of  and  responsible  to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the Company shall be  deemed  to  have  committed  the  offence.  Under  sub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section (2), even the persons, who are not stated to be  in  charge  of  and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responsible to the Company, can be prosecuted, if it is alleged  and  proved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that the offence has been committed with the consent or  connivance  of,  or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is attributable to, any  neglect  on  the  part  of  any  of  those  persons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prosecuted. So, these Sections would provide that when there are  Directors,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who are responsible for the conduct of the  business  of  the  Company,  and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when there are other officers, with  whose  consent  the  offence  has  been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committed, the complainant shall make averments to  the  said  effect.    In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that context, the complainant has to start the process of getting  back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cheque amount from those persons, who represent the  Company,  in  order  to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avoid the filing of the Complaint against them.  In  the  said  process,  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has to necessarily make a demand  from  those  persons,  who  are  part  and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parcel of the drawer.  Only when the process fails, the cause of action,  as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envisaged  in  Section  138,  would  arise  against  them,  to  enable 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complainant to approach the Court, within  the  stipulated  time.   So,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starting of the process is, the  service  of  notice  on  the  persons,  who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represent the Company, the drawer of the cheque.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26.   The object of the notice is to give a chance  to  the  drawer  of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cheque to rectify his  omission  and  also  to  protect  an  honest  drawer.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Service of notice of demand in Clause (b) of the proviso to Section  138  is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a condition precedent for filing a complaint under Section 138.  By  sending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a notice   to  the  Company  as  well  as  the  persons  in  charge  of  and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responsible fore the conduct of the business of the company, he can  make  a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demand, asking them to pay the amount. Some may reply that they are  not  in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charge of and responsible for the conduct of the business  of  the  Company.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Some may reply that they are not connected with the Company in any  way  and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some may rectify the omission, by making efforts to pay the  amount  to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payee, in the name of the  Company,  in  that  event,  the  complainant  may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either drop the action of filing the Complainant or, in the  event  of  non-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payment of the cheque amount, he may choose  the  persons,  who  are  really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responsible fore the commission of offence and, then,  initiate  prosecution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against them.”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8.    It was  submitted  by  Mr.  Ajit  Anekar,  learned  Advocate  for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appellant that  Section  138  does  not  contemplate  issuance  of  separate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notices to the directors and that no such requirement ought to be read  into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said Section.  Mr.  Shree  Prakash  Sinha  and  Mr.  Ashok  Bhatia,  learned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Advocates  appearing  for  respondents  relied  upon  the  decision  of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Division Bench of Madras High Court in B. Raman &amp; others   (Supra).  It  was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submitted  that  though  the  issue  whether  such  separate   notices   are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mandatorily required to be given to the Directors had not  squarely  arisen,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paras 10 &amp; 11 of the decision of this Court in N.K. Wahi v Shekhar  Singh[1]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did speak of such notices. We quote said paras 10 &amp; 11:-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“10. In order to bring application of Section 138 the complaint must show: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1 That Cheque was issued;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2. The same was presented;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3. It was dishonored on presentation;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4. A notice in terms of the provisions was served on the  person  sought  to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be made liable;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5. Despite service of  notice,  neither  any  payment  was  made  nor  other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obligations, if any, were complied with within fifteen days  from  the  date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of receipt of the notice.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11. Section 141 of the Act in terms  postulates  constructive  liability  of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the Directors of the company or other persons responsible  for  its  conduct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or the business of the company.”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9.    The question, therefore, is whether notice under Section  138  of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Act is mandatorily required to be sent to the directors of a Company  before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a complaint could be filed against such directors along  with  the  Company.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At the outset we must consider whether the decision of this  Court  in  N.K.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Wahi (supra) had considered and concluded that it  is  obligatory  to  issue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separate notices to  the  Directors  in  addition  to  the  Company,  before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initiating any proceedings against them.  We have perused the  decision  and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find that no such issue had arisen for  consideration  in  that  case.   We,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therefore, proceed to consider the  question.    Before  we  deal  with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matter, Sections 138 and 141 of the Act may be quoted:-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“138. Dishonour of cheque for insufficiency, etc., of funds in the accounts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Where any cheque drawn by a person on an account maintained by  him  with  a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banker for payment of any amount of money to  another  person  from  out  of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that account for the discharge, in whole or in part, of any  debt  or  other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liability, is returned by the bank unpaid, either because of the  amount  of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money standing to the credit of that account is insufficient to  honour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cheque or that it exceeds the amount arranged to be paid from  that  account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by an agreement made with that bank, such person shall  be  deemed  to  have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committed an offence and shall without prejudice to any other provisions  of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this Act, be punished with imprisonment for “a term which may extend to  two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year”, or with fine which may extend to twice the amount of the  cheque,  or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with both: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Provided that nothing contained in this section shall apply unless-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(a) The cheque has been presented to the bank within a period of six  months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from the date on which it is drawn or within the  period  of  its  validity,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whichever is earlier.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(b) The payee or the holder induce course of the cheque,  as  the  case  may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be, makes a demand for the payment of the said amount of money by  giving  a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notice, in writing, to the drawer, of the cheque, “within  thirty  days”  of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the receipt of information by him from the bank regarding the return of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cheques as unpaid, and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(c) The drawer of such cheque fails to make the payment of the  said  amount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of money to the payee or, as the case may be, to the holder  in  due  course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of the cheque, within fifteen days of the receipt of the said notice.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Explanation: For the purpose of this  section,  “debt  or  other  liability”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means a legally enforceable debt or other liability.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141. Offences by companies- (1) If the person committing  an  offence  under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section 138 is a Company, every person who, at  the  time  the  offence  was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committed, was in charge of, and was responsible  to  the  Company  for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conduct of the business of the Company, as well as  the  Company,  shall  be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deemed to be guilty of the offence and  shall  be  liable  to  be  proceeded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against and proceeded against and punished accordingly;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Provided that nothing contained in this sub-section shall render any  person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liable to punishment if he proves that the  offence  was  committed  without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his knowledge, or that he had exercised all due  diligence  to  prevent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commission of such offence.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“Provided further that where a person  is  nominated  as  a  Director  of  a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Company by virtue of his holding any office or  employment  in  the  Central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Government  or  State  Government  or  a  financial  corporation  owned   or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controlled by the Central Government or the State Government,  as  the  case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may be, he shall not be liable for prosecution under this Chapter.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(2)  Notwithstanding  anything  contained  in  sub-section  (1),  where  any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offence under this Act has been committed by a  Company  and  it  is  proved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that the offence has been committed with the consent or  connivance  of,  or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is attribute to,  any  neglect  on  the  part  of,  any  director,  Manager,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secretary,  or  other  office  of  the  Company,  such  director,   manager,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secretary or other officer shall  also  be  deemed  to  be  guilty  of  that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offence  and  shall  be  liable  to  be  proceeded  against   and   punished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accordingly. Explanation: For the purpose of this section. –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(a) “Company” means  any  body  corporate  and  includes  a  firm  or  other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association of individuals; and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(b) “Director”, in relating to a firm, means a partner in the firm.”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The expression “drawer” used in Section 138 has  to  be  understood  in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light of the definition in Section 7 of the Act which is  to  the  following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effect :-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“..The maker of a bill of exchange or cheque is  called  the  “drawer”;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person thereby directed to pay is called the ‘drawee.”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10.   Since the High Court  has  read  into  Section  138  of  the  Act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requirement that separate notices  ought  to  be  given  to  the  directors,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without which  they  cannot  be  made  vicariously  liable,  the  principles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concerning interpretative function of the Court  may  be  adverted  to.   In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Kanai Lal Sur v. Paramnidhi Sadhukhan[2]  it was observed,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“In support of his argument Mr.  Chatterjee  has  naturally  relied  on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observations made by Barons of  the  Exchequer  in  Heydon’s  case.   Indeed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these observations have been so frequently cited  with  approval  by  courts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administering provisions of welfare enactments that they have  now  attained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the status of a  classic  on  the  subject  and  their  validity  cannot  be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challenged. However, in applying these observations  to  the  provisions  of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any statute, it must always be borne in mind  that  the  first  and  primary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rule of construction is that the intention of the Legislature must be  found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in the words used by the Legislature itself. If the words used  are  capable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of one construction only then it would not be open to the  courts  to  adopt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any other hypothetical construction on the  ground  that  such  hypothetical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construction is more consistent with the alleged object and  policy  of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Act. The words used in the  material  provisions  of  the  statute  must  be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interpreted in their plain grammatical meaning and  it  is  only  when  such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words are capable of two constructions that the question  of  giving  effect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to the policy or  object  of  the  Act  can  legitimately  arise.  When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material words are capable of two constructions, one of which is  likely  to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defeat or impair the policy of the Act  whilst  the  other  construction  is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likely to assist the achievement of the said policy, then the  courts  would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prefer to adopt the latter construction. It is only in such  cases  that  it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becomes relevant  to  consider  the  mischief  and  defect  which  the,  Act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purports to remedy and correct.”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11.   In Nasiruddin and others v. Sita Ram Agarwal[3] this Court stated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law in the following terms: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“37. The court’s jurisdiction to interpret a statute  can  be  invoked  when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the same is ambiguous. It is well known that in a given case the  court  can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iron out the fabric but it cannot change  the  texture  of  the  fabric.  It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cannot enlarge the scope of legislation or intention when  the  language  of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the provision is plain and unambiguous. It cannot add or subtract  words  to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a statute or read something into it which is not there.  It  cannot  rewrite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or recast legislation. It is also necessary to determine that  there  exists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a presumption that the legislature has not used any  superfluous  words.  It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is well settled that the real intention of the legislation must be  gathered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from the language used……...”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12.   In  Nathi Devi v. Radha Devi Gupta[4] a  Constitution  Bench  of  this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Court was called upon to  consider,  inter  alia,  whether  the  expression,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“where the landlord is a widow and the premises let out by her,  or  by  her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husband, are required by her for her own residence” appearing in Section 14-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D of the Delhi Rent Control Act would include every widow so as  to  entitle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her to obtain immediate possession of the  premises  owned  by  her.   While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holding that the benefit under Section 14-D is available only  to  a  widow,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where premises are let out by her or by her  husband,  this  Court  repelled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the contention that a widow who had acquired tenanted premises  by  sale  or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transfer could also invoke the provisions  of  Section  14-D.    During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course of its decision this Court observed: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“The  interpretative  function  of  the  court  is  to  discover  the   true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legislative intent. It is trite that in interpreting  a  statute  the  court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must, if the words are clear, plain, unambiguous and reasonably  susceptible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to only one meaning, give to the words that  meaning,  irrespective  of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consequences. Those words must be expounded in their  natural  and  ordinary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sense. When the language is plain and unambiguous and  admits  of  only  one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meaning, no question of construction of statute arises, for the  Act  speaks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for itself. Courts are not concerned with the policy involved  or  that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results are injurious or otherwise, which may follow from giving  effect  to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the language used. If the words used are capable of  one  construction  only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then it would not be open to the courts  to  adopt  any  other  hypothetical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construction on the ground that such construction is  more  consistent  with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the alleged object and policy of the Act. In considering  whether  there  is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ambiguity, the court must look at the statute as a whole  and  consider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appropriateness  of  the  meaning  in  a  [pic]particular  context  avoiding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absurdity and inconsistencies  or  unreasonableness  which  may  render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statute unconstitutional.”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13.   With these principles in mind,  we  now  consider  the  provisions  in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question. According to Section 138, where any cheque drawn by  a  person  on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an account maintained by him is returned by  the  Bank  unpaid  for  reasons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mentioned in said Section such person shall be deemed to have  committed  an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offence.  The proviso to the Section  stipulates  three  conditions  on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satisfaction of which the offence is said  to  be  completed.   The  proviso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inter alia obliges the payee to make  a  demand  for  the  payment  of  said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amount of money by giving a notice in writing to “the drawer of the  cheque”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and if “the drawer of the cheque” fails to make  the  payment  of  the  said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amount within 15 days of the receipt of said notice, the  stages  stipulated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in the proviso stand fulfilled.  The notice under Section  138  is  required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to be given to “the drawer” of the cheque  so  as  to  give  the  drawer  an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opportunity to make the payment and escape the penal consequences. No  other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person is contemplated by Section 138 as being entitled to  be  issued  such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notice.  The plain language of Section 138 is very clear and leaves no  room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for any doubt or ambiguity.  There is nothing in Section 138 which may  even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remotely suggest issuance of notice to anyone other than the drawer.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14.   Section 141 states that if the  person  committing  an  offence  under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Section 138 is a Company, every director of such Company who was  in  charge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of and responsible to that Company for conduct of its  business  shall  also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be deemed to be guilty. The  reason  for  creating  vicarious  liability  is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plainly that a juristic entity  i.e.  a  Company  would  be  run  by  living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persons who are in charge of its affairs and who guide the actions  of  that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Company and that if such juristic  entity  is  guilty,  those  who  were  so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responsible for its affairs and who guided actions of such  juristic  entity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must be held responsible and ought to  be  proceeded  against.  Section  141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again does not lay  down  any  requirement  that  in  such  eventuality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directors must individually be issued separate notices  under  Section  138.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The persons who are in charge of the affairs of the Company and running  its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affairs must naturally be aware of the notice of demand  under  Section  138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of the Act issued to such Company.  It is precisely for this reason that  no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notice is additionally contemplated to be  given  to  such  directors. 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opportunity to the ‘drawer’ Company is considered good enough for those  who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are in charge of the affairs of such Company. If it is their case  that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offence was committed without their knowledge or  that  they  had  exercised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due diligence to prevent such commission, it would be a  matter  of  defence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to be considered at the appropriate stage in the trial and certainly not  at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the stage of notice under Section 138.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15.    If  the  requirement  that  such individual notices to the  directors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must additionally be given is read into the concerned  provisions,  it  will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not only be against the plain meaning and construction of the provision  but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will make the remedy under Section 138 wholly cumbersome. In  a  given  case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the ordinary lapse or negligence on part of  the  Company  could  easily  be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rectified and amends could be made upon receipt of a  notice  under  Section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138 by the Company.  It would be unnecessary at that point to issue  notices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to all the directors, whose names the payee may not  even  be  aware  of  at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that stage. Under Second proviso to Section 138, the notice  of  demand  has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to be made within 30 days of the dishonour of cheque and the  third  proviso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gives 15 days time to the drawer to make  the  payment  of  the  amount  and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escape the penal  consequences.   Under  clause  (a)  of  Section  142,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complaint must be filed within one month of the date on which the  cause  of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action arises under the third proviso to Section 138. Thus a  complaint  can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be filed  within  the  aggregate  period  of  seventy  five  days  from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dishonour, by which time a complainant can gather requisite  information  as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regards names and other details as to who were in charge  of  and  how  they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were responsible for the affairs of the  Company.   But  if  we  accept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logic that has weighed with the High Court in the present case, such  period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gets reduced to 30 days only. Furthermore, unlike proviso to clause  (b)  of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Section 142 of the Act, such period is non-extendable.  The  summary  remedy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created for the benefit of a drawee of a dishonoured  cheque  will  thus  be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rendered completely cumbersome and capable of getting frustrated.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16.   In our view, Section 138 of the Act does not admit  of  any  necessity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or scope for reading into it the  requirement  that  the  directors  of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Company in question must also be issued  individual  notices  under  Section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138 of the Act.  Such directors who are in charge of affairs of the  Company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and responsible for the affairs  of  the  Company  would  be  aware  of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receipt of notice by the Company under Section  138.  Therefore  neither  on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literal construction nor on the touch stone of purposive  construction  such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requirement could or  ought  to  be  read  into  Section  138  of  the  Act.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Consequently this appeal must succeed. The order passed by  the  High  Court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is set aside. Since the matter was at the stage of  considering  application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for leave to appeal and the merits of the matter were not considered by  the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High Court, we remit the matter to the High Court  for  fresh  consideration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which may be decided as early as possible.  Concluding so,  we  must  record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that the decision of the Division Bench of  the  Madras  High  Court  in  B.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Raman &amp; Ors. Vs. M/s. Shasun Chemicals and Drugs Ltd. (supra) was  incorrect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and it stands overruled. The appeal is allowed in these terms.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 xml:space="preserve">                                  ……………………….J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 xml:space="preserve">                                            (Pinaki Chandra Ghose)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 xml:space="preserve">                                  ……………………….J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 xml:space="preserve">                                  (Uday Umesh Lalit)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New Delhi,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May 06, 2015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ITEM NO.1C               COURT NO.11               SECTION IIA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(for Judgment)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 xml:space="preserve">               S U P R E M E  C O U R T  O F  I N D I A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 xml:space="preserve">                       RECORD OF PROCEEDINGS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 xml:space="preserve">                     Criminal Appeal  No(s).  1220/2009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KIRSHNA TEXPORT &amp; CAPITAL MARKETS LTD.             Appellant(s)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 xml:space="preserve">                                VERSUS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ILA A AGRAWAL &amp; ORS.                               Respondent(s)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Date : 06/05/2015      This appeal was called on for pronouncement of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 xml:space="preserve">            judgment today.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For Appellant(s) Mr. Ajit Anekar, Adv.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 xml:space="preserve">                       Mr. Satyajit A. Desai, Adv.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 xml:space="preserve">                       Ms. Indu Sharma, Adv.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For Respondent(s)      Mr. Shree Prakash Sinha, Adv.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 xml:space="preserve">                       Mr. Ashok Bhatia, Adv.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 xml:space="preserve">                       Mr. Shekhar Kumar, Adv.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 xml:space="preserve">                       Mr. Aniruddha P. Mayee, Adv.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 xml:space="preserve">                       Mr. Charudatta Mahindrakar, Adv.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 xml:space="preserve">                       Mr. Selvin Raja, Adv.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 xml:space="preserve">                       Mr. Mahaling Pandarge, Adv.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 xml:space="preserve">                       Mr. Nishant Katneswarkar, Adv.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 xml:space="preserve">                       Ms. Asha Gopalan Nair, Adv. (NP)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 xml:space="preserve">      Hon'ble  Mr.  Justice  Uday  Umesh  Lalit  pronounced  the  reportable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judgment of the Bench comprising Hon'ble Mr. Justice  Pinaki  Chandra  Ghose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and His Lordship.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 xml:space="preserve">      The appeal is allowed in terms of the signed reportable judgment.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 xml:space="preserve">      (R.NATARAJAN)                                 (SNEH LATA SHARMA)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 xml:space="preserve">       Court Master                                    Court Master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 xml:space="preserve">            (Signed reportable judgment is placed on the file)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[1]    (2007)9 SCC 481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[2]    (1958) SCR 360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[3]    (2003) 2 SCC 577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E65D7">
        <w:rPr>
          <w:rFonts w:ascii="Times New Roman" w:hAnsi="Times New Roman" w:cs="Times New Roman"/>
          <w:sz w:val="25"/>
          <w:szCs w:val="25"/>
        </w:rPr>
        <w:t>[4]    (2003) 2 SCC 577</w:t>
      </w: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57BE" w:rsidRPr="009E65D7" w:rsidRDefault="003E57BE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9E65D7" w:rsidRDefault="009E65D7" w:rsidP="009E65D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9E65D7" w:rsidRPr="009E65D7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62A" w:rsidRDefault="0004662A" w:rsidP="00607A95">
      <w:pPr>
        <w:spacing w:after="0" w:line="240" w:lineRule="auto"/>
      </w:pPr>
      <w:r>
        <w:separator/>
      </w:r>
    </w:p>
  </w:endnote>
  <w:endnote w:type="continuationSeparator" w:id="1">
    <w:p w:rsidR="0004662A" w:rsidRDefault="0004662A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04662A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62A" w:rsidRDefault="0004662A" w:rsidP="00607A95">
      <w:pPr>
        <w:spacing w:after="0" w:line="240" w:lineRule="auto"/>
      </w:pPr>
      <w:r>
        <w:separator/>
      </w:r>
    </w:p>
  </w:footnote>
  <w:footnote w:type="continuationSeparator" w:id="1">
    <w:p w:rsidR="0004662A" w:rsidRDefault="0004662A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4662A"/>
    <w:rsid w:val="00056A12"/>
    <w:rsid w:val="001D7193"/>
    <w:rsid w:val="003635C8"/>
    <w:rsid w:val="003D1C2B"/>
    <w:rsid w:val="003E57BE"/>
    <w:rsid w:val="00421961"/>
    <w:rsid w:val="00583F6E"/>
    <w:rsid w:val="00602576"/>
    <w:rsid w:val="00607A95"/>
    <w:rsid w:val="009E65D7"/>
    <w:rsid w:val="00B4276B"/>
    <w:rsid w:val="00B559B2"/>
    <w:rsid w:val="00C76C34"/>
    <w:rsid w:val="00C878B4"/>
    <w:rsid w:val="00C8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4015</Words>
  <Characters>22886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2016-05-04T05:21:00Z</dcterms:created>
  <dcterms:modified xsi:type="dcterms:W3CDTF">2016-05-04T05:21:00Z</dcterms:modified>
</cp:coreProperties>
</file>