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 xml:space="preserve">      IN THE SUPREME COURT OF INDIA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 xml:space="preserve">                        CIVIL APPEAL NO. 2830 OF 2005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M/S. MAAN ALUMINIUM LTD.                     .... Appellant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COMMISSIONER OF CENTRAL EXCISE, INDORE       .... Respondent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A. K. SIKRI, J.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 xml:space="preserve">             The  appellant  herein  is   engaged   in   the   business   of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manufacturing of Aluminium  Profils,  bars  and  roads,  tubes  and  papers.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These items which are finished  goods  are  subjected  to  excise  duty  and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classified under chapter 76 of the  Schedule  to  the  Central  Excise  Act.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Substantial quantity of the aforesaid goods manufactured  by  the  appellant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is exported.  Some officials of the Central Excise  Department  visited  the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factory of the appellant on 16.08.1996 and checked  the  physical  stock  of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the  finished  goods  viz-a-viz,  the  stock  recorded  in  its  books.   On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verification, these officials found that several  quantities  of  goods  are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unaccounted.  These goods were,  accordingly,  seized.   The  raiding  party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also visited the office premises of the appellant.  It went to  the  dealers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of the appellant and recorded their statements as well.  Statements of  some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of the employees of the appellant company who were dealing with the  affairs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of the appellant were also recorded.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 xml:space="preserve">            On the basis  of  the  aforesaid  material  and  the  statements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recorded,  the  Department  took  the  view  that  the  appellant  had  been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clandestinely removing some of the quantities of  the  finished  goods.   On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this basis,  a  show  cause  notice  dated  03.03.1999  was  issued  to  the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appellant company as well as its managing director.  Making out the case  of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evasion of excise  duty  and  suppression  of  facts  on  the  part  of  the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appellant, extended period of limitation was  invoked,  as  per  proviso  to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Section 11A(1) of the Central Excise Act.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 xml:space="preserve">            The appellant submitted its reply to the said show cause  notice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contesting the position which was  taken  by  the  Department  in  the  said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notice.  The appellant submitted that there was no  clandestine  removal  of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any quantity of finished goods and the raw material  was  in  fact  used  in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manufacturing the finished goods.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lastRenderedPageBreak/>
        <w:t xml:space="preserve">            After hearing the appellant, the adjudicating  authority  passed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the Order-in-Original dated 28.08.2002, raising the demand of Rs.64,82,565/-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 xml:space="preserve"> as differential duty payable by  the  appellant.   The  appellant  went  in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appeal, which appeal was dismissed by the Customs, Excise and  Services  Tax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Appellate Tribunal (hereinafter referred to as 'CESTAT') as  well  vide  its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orders dated 22.12.2003.  Relevant portion of this order which contains  the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discussion on the essential aspects is reproduced below:-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“3.1 The company had cleared goods for export also.   The  export  documents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showed the “catalogue weight” of the goods, which was more than  the  actual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(physical) weight recorded in RG-1 register.   Consequently, the  weight  of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goods actually exported was less than what was shown I the export  documents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viz. AR4s. Invoices etc.  The SCN alleged that the differential quantity  of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goods had not been accounted and the same  had  been  clandestinely  cleared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without payment of duty during the period February  1994  to  January  1999.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this allegation was also based on the finding that the “gate  register”  and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other records seized from the factory premises  had  shown  that  goods  had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been cleared without invoice and without payment of  duty.   The  demand  of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Rs.1,05,67,090/- was raised on a total quantity  of  641.145  Mts  of  goods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which was allegedly cleared in the above manner  during  the  above  period,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corresponding to which the  total  quantity  of  exports  as  noted  by  the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Commissioner was 6507.073 Mts.  The adjudicating authority  has  found  that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out of this  quantity  of  total  exports,  the  exports  made  to  M/s  Man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Intertrade Co. (UAE) are not to be taken into  account  for  demanding  duty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and accordingly it has requantified the demand  as  Rs.  64,82,565/-.   That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authority has worked out this demand on the  basis  of  the  appellants  own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records and statements.  For instance a letter issued by Sh. U.  D.  Selvan,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Senior Engineer of the company, to their Indore office showed the  catalogue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weight of certain Aluminium Sections as 21986 Kgs. and its  physical  weight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as 21404.2 Kgs.  Shri Selvan, in his statement, confirmed this  fact.   Some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official correspondence between functionaries of the company also  indicated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that the catalogue weight of export goods was 5-10%  more  than  the  actual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weight.  Shri Deepak Das, Senior Manager  (Tool  Room)  who  was  confronted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with the letters, admitted that the catalogue weight (despatch  weight)  was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always more than the physical  weight.   Shri  Prahalad  Das  Sarda,  Excise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(Officer &amp; Authorised Signatory, stated that it was  his  function  to  make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entries in RG-1 Register on the basis of  the  Packing  departments  reports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which were prepared on the  basis  of  actual  weight.   But  he  could  not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explain as to how the differential quantity of goods was  disposed  of.   He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further stated that he had only acted as per the directions of the  Managing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Director and the latter  alone  could  offer  any  explanation.   Shri  J.C.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Mansukhani, in his statement, admitted that in some cases  of  exports,  the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catalogue weight was higher than the physical weight  and  the  differential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quantity of goods remained in the factory.  However, he could not say as  to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how this quantity was disposed of.  In the aforesaid example,  the  quantity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of Sections exported under GP2 No. 58 dated  29.12.93  was  shown  as  21986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Kgs. (catalogue weight) whereas the actual  weight  was  only  21404.2  Kgs.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The  differential  quantity  (581.8  Kgs.)  was  not  actually  cleared  and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exported, though, in RG-1,  it  was  shown  as  debited  for  clearance  for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export.  Shri Mansukhani in his statement  conceded  this  factual  position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but could not say as to how the 581.8 Kgs.  of  Sections  remaining  in  the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factory were disposed of.   The  Consultant  for  the  appellants  submitted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before us that J.C. Mansukhani and Deepak Das had  been  wrongly  quoted  in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the SCN and the Commissioner's order.   He  added  that  the  allegation  of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clandestine removal of goods had not been proved  by  the  department.   Yet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another submission made by the Consultant was that the difference in  weight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of the goods was less than 5 which according to him, was too  negligible  to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be taken into account.  The DR submitted that he demand of  duty  was  based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only on the differential quantity admitted by the appellants and  hence  was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irresistible.  We are unable to accept  the  Consultant's  arguments  as  we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have noted that the demand of duty  of  Rs.  64,82,565/-  is  based  on  the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unrebutted documentary evidence gathered from  the  appellants  premises  as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well as the unretracted  statements  of  the  Managing  Director  and  other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responsible functionaries of the company.  We have perused these  statements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and  find  that  the  adjudicating  authority  has  correctly   quoted   and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appreciated the same.  The statements were never retracted, nor, was any  of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the documents disowned.  The result was that the  differential  quantity  of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goods i.e. the difference between  the  actual  (physical)  weight  and  the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weight shown to have been  cleared  for  export  was  proved  to  have  been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removed from the factory without invoices and without payment of duty.   The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differential quantity was admitted but its accountal and clearance in  terms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of the legal provisions were not shown.  (In view of the  admission  of  the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differential quantity by the company authorities, it was not  necessary  for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the adjudicating authority to allow them to  cross-examine  any  officer  of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the department).  The department's allegation of clandestine removal of  the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said quantity stood proved.  The  appellants  have  stated  that  the  total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exports quantity noted by the Commissioner (6507.073  Mts)  is  not  correct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and that the correct figure must be less by 95.614 Mts and, on  this  basis,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the demand of duty should be reduced.  We are unable to  accept  this  claim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as we find that the Commissioner has noted the above quantity from a  report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of the Deputy Commissioner of Central Excise Division II, Indore, which  has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not been called in  question  in  these  appeals.   Yet  another  ground  of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challenge to the demand of duty is that  many  of  the  exports  taken  into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account by the Commissioner had taken place prior to the period  of  demand.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This, again, cannot  be  accepted  as  J.C.  Mansukhani  admitted  that  the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differential quantities remained in  the  factory.   Such  quantities  which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accumulated from past exports could well be removed  during  the  period  of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demand.  We uphold the above demand of duty for the reasons recorded.”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 xml:space="preserve">            The appellant preferred further appeal to the High  Court  under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Section 35G of the Central Excise Act.  This appeal has also been  dismissed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by the High Court primarily on the ground that  the  two  authorities  below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have looked into the facts and law in confirming the demand  and  a  finding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of fact has been arrived that it was a case of evasion of duty by  resorting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to clandestine manner in removing the finished goods  and  therefore,  these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findings do not call  for  any  interference.   Since  the  High  Court  has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dismissed the appeal with the aforesaid observation, that was a  reason  for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reproducing in detail, the discussion carried  out  by  the  CESTAT  in  its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order.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 xml:space="preserve">            This is how the  present  appeal  comes  up  for  hearing  which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challenges the orders of the authorities below.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 xml:space="preserve">            In the first blush, the impression that  would  be  gathered  is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that a finding of fact is arrived at by the authorities below  holding  that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there was clandestine removal of the goods from the factory premises of  the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appellant without the payment of excise duty and therefore, no  question  of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law is involved in the present case.  However,  the  submission  of  Mr.  S.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Ganesh, learned senior counsel appearing for the  appellant,  is  that  from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the reading of the order of the CESTAT, it becomes apparent that the  CESTAT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has primarily been influenced by the statements  of  two  employees  of  the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appellant company viz., Mr. Deepak Das  and  Mr.  J.C.  Mansukhani  and  the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entire order is  rested  on  the  so  called  admissions  contained  in  the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statement of these two employees.  He submitted that  from  the  reading  of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the statement of the two employees it would be crystal clear that there  was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no such admission made by them at all and what is sought  to  be  read  into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those statements is not there at all and is conspicuously missing  in  these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statements. It was thus, argued that the present case is a case of  perverse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findings.  It is additionally argued that when the Commissioner or for  that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matter, the CESTAT relied upon the so-called  admissions  of  the  aforesaid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two employees, it failed to look  into  any  explanation  furnished  by  the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appellant in reply to the show cause notice and also in the  form  of  other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materials produced before the adjudicating authority.  It  was  also  argued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that even in the statements of the said two employees, these  employees  had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amply demonstrated and clarified the doubts pertaining to  the  differential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in quantity but the authorities have blissfully ignored those parts  of  the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statements  of  these  employees,  which  has  resulted  in  miscarriage  of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justice.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 xml:space="preserve">            In order to substantiate the  aforesaid  statement,  Mr.  Ganesh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took us through the reply to the show cause notice,  other  documents  filed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as well as the statements of Mr.J. C.  Mansukhani and Mr.  Deepak  Das.   On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going through this record,  we  are  inclined  to  accept  the  argument  of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Mr.Ganesh that the findings arrived at by the CESTAT which are  accepted  by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the High Court are totally perverse and there is no such admission  made  by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these two persons which has become the basis of the  orders  passed  by  the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authorities below.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 xml:space="preserve">            Before we advert to these statements, it would be  pertinent  to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mention here that the appellant had explained that there is a  variation  in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the die hole between 5% to 7.5%, i.e., in the manufacture of dye.  It was  a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specific case put by the appellant that the  hole  of  the  die,  after  its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continuous use at Press machine for extruding the required  section/  finish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goods, the internal diameter always expanded to some  extent  and  therefore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the dies are being manufactured accordingly  so  that  the  produced  output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should  match  the  specifications.   It  had  also  taken  support  of  the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technical  literature  that  is  available  in  the  market,  to  prove  the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aforesaid assertion.  On this basis,  it  was  stated  that  in  the  export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catalogue which was prepared and issued by the appellant in  order  to  take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care of the final production with  varying  specifications  because  of  the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aforesaid reason, 10 per cent actual weight would be 5% more  or  less  than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the weight as mentioned in the catalogue.  It  was  further  explained  that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even as per the show cause notice, the difference in quantity was  hardly  2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per cent.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 xml:space="preserve">            We find from the reading of the statements of Mr.Deepak Das  and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Mr. J. C. Mansukhani that this aspect is explained in abundance by  them  in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their statements.  After reading the statement  of  these  two  persons,  we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find that no such admission was made by them, as recorded in  the  order  of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the CESTAT which is extracted above.  Mr.Deepak Das  had  only  stated  that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“In export dies, catalogue weight should be always equal  or  10%  than  the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physical weight”.  This is in reply to Question No. 4 which was put  to  Mr.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Deepak Das.  For the sake of clarity and better understanding, we  reproduce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the exact question and answer given thereto: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“Question-4 Please see  page  No.  359  of  file  2B,  seized  from  factory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premises on 16.8.96 please explain the meaning of “we  may  follow  the  wt.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Range  in export dies from – 10% to 0%”  as  mentioned  in  the  above  said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letter written by you to Mr. D. K. Chandwani Indore office on 8.8.94.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Ans   In export dies, catalogue weight should be always equal  or  10%  than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the physical weight.”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 xml:space="preserve">            We fail to understand how it amounts to admission  on  the  part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of Mr. Das that the quantity disclosed was less.  To the similar  effect  is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the statement of Mr. Mansukhani which is treated as his admission.  In  this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behalf, we reproduce question No. 5 and answer thereof  which  is  taken  as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admission of Mr. Mansukhani: -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“Question 5: Please see page No. 137 of File 49B where catalogue weight  for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different Section shown as 21986 kg., and same goods were cleared under  BP-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258, dated 29.12.1993 this BP 2 shows that in case of Export  of  goods  the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same are cleared on catalogue weight.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Ans. 5. As per my knowledge in certain exports goods we will have to  charge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them as per catalogue  weight  and  there  is  possibility  of  (+-)  litter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difference in the weight this is because of international rules.”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 xml:space="preserve">            Apart from the aforequoted  positions  of  the  two  statements,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learned counsel for the Revenue could not point out any other  part  of  the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statements on which he could rely to demonstrate any admissions  by  any  of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these witnesses.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 xml:space="preserve">            Once  we  arrive  at  an  conclusion  that  there  was  no  such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admission on the part of these two persons which is erroneously read out  to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be so, entire basis of the impugned orders passed  by  the  Commissioner  as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well as the CESTAT gets knocked off.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 xml:space="preserve">            We would also like to mention at this stage  that  in  reply  to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show cause notice, a specific plea was  taken  by  the  appellant  that  the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allegations made in the show cause notice were purely hypothetical  and  the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difference  occurred  because  of  +/-  5  per  cent  tolerance  which   was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admissible in invoicing of export  dispatches.   It  was  also  specifically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pleaded that the exporter always dispatches 10% less quantity  and  yet  the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importer pays foreign exchange for full invoice amount, even  for  10%  less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quantity received by him.  The statements made in the  catalogue  were  also</w:t>
      </w:r>
    </w:p>
    <w:p w:rsid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justified in the following manner: -</w:t>
      </w:r>
    </w:p>
    <w:p w:rsidR="00736E37" w:rsidRPr="00F97722" w:rsidRDefault="00736E37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“For export of the finished products to various countries, the  noticee  No.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1 has made out an Export catalogue which contains technical details  of  our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different section; weight per  meter  etc.  and  as  per  the  international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practice, the invoicing of  export  dispatches  is  made  on  the  basis  of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Catalogue weight whereas the actual weight of the  section  may  be  as  per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catalogue weight in most of the cases and in some case it may be 5% more  or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less  than  the  weight  as  mentioned  in  the  catalogue.    Each   export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consignment  consist  of  minimum  15-20  different  varieties  of  section/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profiles and out of these different  types,  only  in  three  four  sections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there can be variation and in rest of the sections,  the  weight  is  almost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same.  However, the aggregate value of the invoice  is  always  as  per  the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actual weight of the  total  consignment.   To  elaborate  further,  if  the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quantity of any particular section is 5% less  than  the  catalogue  weight,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the quantity of other section  will  be  5%  more  than  that  of  catalogue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weight.  The average weight of a container  is  thus  always  equal  to  the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actual weight.”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 xml:space="preserve">            It was specifically pointed out that the  Department  had  taken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only those samples of products with larger quantity  and  missed  out  those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with lesser quantity and in case all the items  are  taken  together,  there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would  not  be  any  difference  in  quantities.   This  was  sought  to  be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demonstrated by a chart prepared as Annexure 'AE' to the show  cause  notice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in the following manner: -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“The chart as Annexure 'AE' prepared  for  differential  quantity  4.044  MT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pertaining to the exports made during the period from 19.07.93  to  28.06.94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which is totally irrelevant as the relevant period of  the  proposed  demand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duty is from Feb, 94 to Jan, 99.  The difference worked out  in  this  chart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comes to about 4.91% of total 82.391 MT  quantity  invoiced  which  is  also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appeared to be well within the tolerable limit of 5%.   Another  aspect  for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this chart is that the investigating  officers  while  preparing  the  chart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“AE” deliberately have taken only those cases in which catalogue  weight  is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more than the actual weight and ignored the cases  in  which  actual  weight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were more than the catalogue weight.  On going  through  whole  para  6,  it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appears that these were the only stray  evidences  which  the  investigating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officer of the department  could  collect  after  searching  the  files  and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records of Noticee No. 1 by spending almost three  years  valuable  time  of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the Central Excise department.  But these cases are  also  not  relevant  in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the case of Noticee No. 1 as the relevant period of proposed demand of  duty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made in the impugned show cause notice is from Feb, 94 to Jan, 99.”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 xml:space="preserve">            It is unfortunate that in spite of the fact that  the  aforesaid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plea was specifically raised by the appellant in explaining that  there  was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no difference in the quantities and thus, no  question  of  any  clandestine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removal of the goods from the premises, the said plea has not been  adverted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to and there is no reference made to the aforesaid material produced by  the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appellant.  It is stated at the cost of repetition, that only on  the  basis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of so called admissions made  by  Mr.Mansukhani  and  Mr.  Deepak  Das,  the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authorities  jumped  to  the  conclusion  without  undertaking  any  further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exercise.  Such an order of the CESTAT which is confirmed by the High  Court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does not stand legal scrutiny and therefore, these orders are liable  to  be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set aside.  We, accordingly, allow this appeal and quash the demands  raised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by the authorities.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 xml:space="preserve">            No costs.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 xml:space="preserve">                                  ..........................., J.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 xml:space="preserve">                                  [ A.K. SIKRI ]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 xml:space="preserve">                                  ..........................., J.</w:t>
      </w:r>
    </w:p>
    <w:p w:rsidR="00F97722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New Delhi;                  [ ROHINTON FALI NARIMAN ]</w:t>
      </w:r>
    </w:p>
    <w:p w:rsidR="009E65D7" w:rsidRPr="00F97722" w:rsidRDefault="00F97722" w:rsidP="00F977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97722">
        <w:rPr>
          <w:rFonts w:ascii="Times New Roman" w:hAnsi="Times New Roman" w:cs="Times New Roman"/>
          <w:sz w:val="25"/>
          <w:szCs w:val="25"/>
        </w:rPr>
        <w:t>May 08, 2015.</w:t>
      </w:r>
    </w:p>
    <w:sectPr w:rsidR="009E65D7" w:rsidRPr="00F97722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B8B" w:rsidRDefault="00840B8B" w:rsidP="00607A95">
      <w:pPr>
        <w:spacing w:after="0" w:line="240" w:lineRule="auto"/>
      </w:pPr>
      <w:r>
        <w:separator/>
      </w:r>
    </w:p>
  </w:endnote>
  <w:endnote w:type="continuationSeparator" w:id="1">
    <w:p w:rsidR="00840B8B" w:rsidRDefault="00840B8B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840B8B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B8B" w:rsidRDefault="00840B8B" w:rsidP="00607A95">
      <w:pPr>
        <w:spacing w:after="0" w:line="240" w:lineRule="auto"/>
      </w:pPr>
      <w:r>
        <w:separator/>
      </w:r>
    </w:p>
  </w:footnote>
  <w:footnote w:type="continuationSeparator" w:id="1">
    <w:p w:rsidR="00840B8B" w:rsidRDefault="00840B8B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56A12"/>
    <w:rsid w:val="001D7193"/>
    <w:rsid w:val="00250000"/>
    <w:rsid w:val="002A74C5"/>
    <w:rsid w:val="002D49A2"/>
    <w:rsid w:val="003635C8"/>
    <w:rsid w:val="003D1C2B"/>
    <w:rsid w:val="003E57BE"/>
    <w:rsid w:val="00421961"/>
    <w:rsid w:val="004903D4"/>
    <w:rsid w:val="00583F6E"/>
    <w:rsid w:val="00597989"/>
    <w:rsid w:val="00602576"/>
    <w:rsid w:val="00607A95"/>
    <w:rsid w:val="006450CE"/>
    <w:rsid w:val="00656C61"/>
    <w:rsid w:val="006D1E00"/>
    <w:rsid w:val="00736E37"/>
    <w:rsid w:val="008175C5"/>
    <w:rsid w:val="00840B8B"/>
    <w:rsid w:val="008810B5"/>
    <w:rsid w:val="00894BD6"/>
    <w:rsid w:val="008D5A3D"/>
    <w:rsid w:val="00972E0A"/>
    <w:rsid w:val="009E65D7"/>
    <w:rsid w:val="00A90860"/>
    <w:rsid w:val="00B12CA5"/>
    <w:rsid w:val="00B4276B"/>
    <w:rsid w:val="00B559B2"/>
    <w:rsid w:val="00BC46A7"/>
    <w:rsid w:val="00C53EC7"/>
    <w:rsid w:val="00C76C34"/>
    <w:rsid w:val="00C878B4"/>
    <w:rsid w:val="00C87DB8"/>
    <w:rsid w:val="00D975BB"/>
    <w:rsid w:val="00E300C3"/>
    <w:rsid w:val="00F97722"/>
    <w:rsid w:val="00FB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3050</Words>
  <Characters>17389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2016-05-04T05:35:00Z</dcterms:created>
  <dcterms:modified xsi:type="dcterms:W3CDTF">2016-05-04T05:35:00Z</dcterms:modified>
</cp:coreProperties>
</file>