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 xml:space="preserve">                                                REPORTABLE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 xml:space="preserve">                      CRIMINAL APPEAL NO. 1953 OF  2009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STATE OF HARYANA                             … Appellant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 xml:space="preserve">                                  :Versus: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ASHA DEVI AND ANR.                     … Respondents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Pinaki Chandra Ghose, J.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1.    This appeal has been  filed  by  the  State  of  Haryana  against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judgment and order dated 10.12.2007 of the High Court of Punjab and  Haryana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at Chandigarh in Criminal Misc. No.560-MA of 2007, whereby  the  High  Court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has declined to grant leave to the State to appeal against the acquittal  of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the respondents.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2.    The facts of this case, as per the  prosecution  story,  are  that  on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3.2.2006, when Sub Inspector Ram Phal, ASI  Rishi  Raj,  Constable  Surender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Singh, Lady Constables Babita Rani and Promila, were on  patrol  duty  in  a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police vehicle which was being  driven  by  Constable  Darshan  Singh,  near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Chimni Bai Dharamshala, NIT No.3, SI Ram Phal received a secret  information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that Om Prakash son of Moti Lal, and his wife Asha Devi, residents  of  Gali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No.1, Jhuggi Kalyanpuri, bring Ganja (intoxicated drug) from Madhya  Pradesh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and supply in Faridabad and if a raid is conducted at their house, Ganja  in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heavy quantity would  be  recovered.  On  receiving  this  information,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aforesaid police team raided the house of Om Prakash. On seeing  the  police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party, Om Prakash managed to escape by scaling over the wall of  the  house.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Asha Devi also tried to escape but she was  apprehended  with  the  help  of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Lady Constables. On query she disclosed her name as Asha wife of Om  Prakash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and also disclosed that the man who  had  escaped  from  the  house  was  Om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Prakash. A notice in writing under Section 50  of  the  Narcotic  Drugs  and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Psychotropic Substances Act, 1985 (“NDPS Act”, for short) was served on  her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informing her of the right to either allow the Sub Inspector to take  search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of her house or opt for the search in presence of some Gazetted  Officer  or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 Magistrate. Asha Devi consented for search of her house  in  the  presence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of some Gazetted Officer. Accordingly, Shri Maharaj Singh, the  then  Deputy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Superintendent of Police, NIT,  Faridabad,  reached  the  spot  and  in  his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lastRenderedPageBreak/>
        <w:t>presence the house of Asha Devi was searched.  Asha  Devi  unpacked  a  box,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took out a bag containing Ganja and produced it before  the  Sub  Inspector.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The bag was weighed and found to be contained 11 Kgs. of Ganja out of  which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two samples of 200 gms. each were taken and sealed  with  letters  “RP”  and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“MS” on the seal. Both the samples along with the residue and  the  specimen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seal impressions  were  taken  into  possession  by  the  police  under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recovery memo which was prepared by I.O. Ramphal and witnessed  by  ASI  Tej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Ram and ASI Rishiraj and attested by DSP Maharaj Singh  and  thumb  mark  of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Asha Devi. The case property along with the samples and the  witnesses  were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produced before the Station House Officer, who  after  verifying  the  facts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affixed  his  seal  thereon  and  were  deposited  in  the  Moharrer  Police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Malkhana. A case was registered against  accused  Asha  Devi  under  Section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20(61) of the NDPS Act and she was arrested. Thereafter, on 04.02.2006  case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property  and  both  samples  were  produced  before  the  learned  Judicial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Magistrate, 1st Class, Faridabad. The learned judicial Magistrate broke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seals on the case property as well one of the samples. The learned  Judicial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Magistrate verified the material, photographs were taken and contraband  was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weighed; thereafter the sample  was  resealed  with  the  seal  of  RP.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Judicial Magistrate  directed  the  Investigation  Officer  to  deposit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material to Judicial Malkhana. After investigation, accused  Asha  Devi  was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charged under Section 20 of the NDPS Act and accused Om Prakash was  charged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under Sections 28 &amp; 29 of the NDPS Act. The accused pleaded not  guilty  and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hence the case was committed for trial.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3.    The Trial Court examined ten prosecution  witnesses  and  two  defence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witnesses. After going through the prosecution evidence  and  after  hearing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the learned counsel for the parties, the Trial Court  did  not  find  favour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with the prosecution version as according to it,  on  receiving  the  secret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information, Sub Inspector did not join any independent witness  during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investigation of the case despite the fact that they were available  at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spot. It further found that the seal “RP”  was  entrusted  to  ASI  Rishiraj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after sealing the case property and samples on 3.2.2006;  so,  I.O.  Ramphal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could not have possessed that seal the next day when the case  property  was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produced before  the  learned  judicial  magistrate.  However,  the  learned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judicial magistrate has testified to  the  fact  that  sample  was  resealed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after verification, photograph and weighment with  the  seal  of  “RP”.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learned Trial Court found it irreconcilable that seal “RP” could  have  been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available with the learned Judicial Magistrate  when  ASI  Rishiraj  is  not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there. Further, the Trial Court found non  production  of  ASI  Rishiraj  as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prosecution witness creates more suspicion. Also, ASI  Tej  Raj  (PW-2)  had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chased the accused Om Prakash when he was trying to  run  away  but  he  was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unable to apprehend him. This part of the story was  also  not  believed  by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the Trial Court for the reason that five constables  were  standing  outside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the house of Om Prakash and it was not  possible  for  Om  Prakash  to  have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scaled the wall of the house. The Trial Court  found  the  evidence  of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prosecution as completely inconsistent and untrustworthy and held  that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prosecution has failed to prove its charges against the accused  beyond  all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shadows of reasonable doubt and accordingly, acquitted the  accused  of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charges levelled against them.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4.    The State moved an application before the High  Court  of  Punjab  and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Haryana at  Chandigarh,  seeking  leave  to  appeal  against  the  order  of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acquittal passed by the Trial Court. The High Court vide  its  judgment  and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order dated 10.12.2007, declined to grant  leave  to  the  State  to  appeal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against the acquittal of  the  respondents  and  dismissed  the  application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filed by the State. The State of Haryana has, thus,  impugned  the  judgment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of the High Court before us.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5.    We have heard the learned counsel appearing for the State  of  Haryana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as  also  the  learned  counsel  appearing  for  the  accused   respondents.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6.    The High Court was of the  view  that  the  Trial  Court  after  going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through the prosecution evidence and hearing the  learned  counsel  for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parties, rightly acquitted the accused as it did not find  favour  with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prosecution version and so far as the search conducted in  the  presence  of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the Gazetted Officer is  concerned,  the  same  was  nothing  but  a  casual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approach adopted by the Gazetted Officer while  effecting  the  recovery  of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the contraband (Ganja) and the  Investigation  Officer  did  not  offer  any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plausible explanation. ASI Rishi Raj was present with  the  seal  which  was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used at the time of effecting the recovery, no explanation  was  offered  by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the prosecution as to how the seal continued to remain in possession of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ASI Rishi Raj from the date of  seizure.  The  only  presumption  which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Trial Court drew is that the possibility of sample being  tampered  with  is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not ruled out. The High Court was of the view that it  is  not  a  fit  case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where leave to appeal is made out in favour of the  State  of  Haryana  and,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therefore, declined the same.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7.    We find that the High Court and Trial Court both relied on three  main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points to decide the matter against the State - (i) no independent  witness;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(ii) Om Prakash could not have fled in presence  of  five  police  officers;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and (iii) the link evidence of the  possession  of  seal  “RP”  transferring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from ASI Rishiraj to I.O. Ramphal is not proved. The assessment of  evidence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and consideration of the matter as regards these three points  by  both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Courts, in our view, is erroneous and cannot be termed as a possible view.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8.    We find that both the DSP Maharaj Singh as well as I.O.  Ramphal  have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deposed that public persons were available when the contraband  was  seized;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however, none of the public person acceded to their request of  joining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investigation as an independent witness. The  Courts  below  have  found  it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unbelievable but no reason  for  same  is  rendered.  In  our  opinion,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consistent statement of both the DSP as well as  I.O.  rather  enhances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veracity of the circumstances as put forth by  them.  With  respect  to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finding of the Courts below that Om Prakash could not have fled  away  after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scaling the wall and the police constables would have failed to  catch  hold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of  him;  we  find  the  Courts  below  have  proceeded  on  assumption  and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conjecture. There is nothing in  the  evidence  which  could  show  that  Om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Prakash could not have run away. There are positive  statements  by  several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prosecution witnesses that he ran away on seeing the police party and  these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statements have withstood the test of cross examination  as  well.  Further,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no other evidence was led to disprove the fact of running  away  of  accused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Om Prakash. So, we are of the view that the High Court and the  Trial  Court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were not correct in arriving at the said finding.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9.    There has been a controversy with respect to possession of  seal.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controversy is that I.O. Ramphal had given the seal “RP” to ASI Rishiraj  on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03.02.2006 after sealing the contraband and samples  thereof.  However,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next day when the case property was produced  before  the  learned  Judicial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Magistrate, after verification it was resealed again with “RP”.  The  Courts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below found the case of prosecution as doubtful inasmuch as  that  when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seal “RP” was in possession of ASI Rishiraj, how could  it  have  been  with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I.O. Ramphal the next day. We find, the more  important  evidence  was  with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respect to the sample which was sealed with “RP”. There  is  clear  evidence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that initially the samples were taken and  sealed  with  “RP”  and  “MS”  on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03.02.2006 at the place of seizure and thereafter, on same day,  SHO  Vikram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Singh also sealed the  said  samples  with  “SS”.  There  is  uncontroverted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evidence to the fact that the  samples  were  produced  before  the  learned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Judicial Magistrate, where seal of one sample was broken and  resealed  with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“RP”. Thereafter, the sample was deposited in Judicial Malkhana  from  where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it was sent to the FSL. The FSL report notes that the seal  was  intact  and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the sample was un-tampered.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10.   All the persons who possessed the contraband sample have been  brought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on record to support that no  tampering  was  done  with  the  samples.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Defence failed to  bring  out  anything  in  the  cross-examination  of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witnesses with respect to tampering of the samples. Thus, we find  that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samples were properly dealt with throughout and the same  was  found  to  be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Ganja. Going further, with respect to the seal that was handed over  to  ASI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Rishiraj, the Defence failed to cross-examine the I.O.  Ramphal  as  to  how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did  he  got  possession  of  seal  back  from  ASI  Rishiraj.  Under  these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circumstances, we do not believe that the  prosecution  was  duty  bound  to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explain the movement of the seal from one person to  another  in  the  given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circumstances. Since, the movement of sample has been proved  and  found  to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be regular, the prosecution has sufficiently proved its  case  to  establish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the guilt of the accused in the present case.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11.   We have noticed the decision of this Court in Allauddin  Mian  &amp;  Ors.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Vs. State of Bihar, (1989) 3 SCC 5.  In the said decision, this  Court  held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as under:-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“10. Even a casual glance at the provisions of  the  Penal  Code  will  show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that the punishments have  been  carefully  graded  corresponding  with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gravity of offences; in grave wrongs the punishments prescribed  are  strict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whereas  for  minor  offences  leniency  is  shown.  Here  again  there   is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considerable room for manoeuvre because the  choice  of  the  punishment  is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left to the discretion of the judge  with  only  the  outer  limits  stated.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There are only a few cases where a minimum  punishment  is  prescribed.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question then is what procedure does the judge follow  for  determining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punishment to be imposed in each case to fit the crime? The  choice  has  to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be made after following the procedure set out in sub-section (2) of  Section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235 of the Code. That sub-section reads as under: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If the accused  is  convicted,  the  judge  shall,  unless  he  proceeds  in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accordance with the provisions of Section  360,  hear  the  accused  on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question of sentence, and then pass sentence on him according to law.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The requirement of hearing the accused is intended to satisfy  the  rule  of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natural justice. It is a fundamental  requirement  of  fair  play  that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accused who was hitherto concentrating on the prosecution  evidence  on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question of guilt should,  on  being  found  guilty,  be  asked  if  he  has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anything to say or any evidence to tender on the question of sentence.  This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is all the more necessary since the courts are generally  required  to  make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the choice from a wide range of discretion in the matter of  sentencing.  To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assist the court in determining the  correct  sentence  to  be  imposed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legislature introduced sub-section (2) to Section 235.  The  said  provision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therefore satisfies a  dual  purpose;  it  satisfies  the  rule  of  natural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justice by according to the accused an opportunity of  being  heard  on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question of sentence and at the same time helps  the  court  to  choose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sentence to be awarded. Since the provision is intended to give the  accused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an opportunity to place before the court all the relevant material having  a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bearing on the  question  of  sentence  there  can  be  no  doubt  that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provision  is  salutary  and  must  be  strictly  followed.  It  is  clearly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mandatory and should not be treated  as  a  mere  formality.  Mr  Garg  was,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therefore, justified in making a grievance that  the  trial  court  actually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treated it as a mere formality as is evident from the fact that it  recorded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the finding of guilt [pic]on 31-3-1987, on the same day before  the  accused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could absorb and overcome the shock of conviction they were  asked  if  they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had anything to say on the question of sentence and  immediately  thereafter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the decision imposing the death penalty on the two accused  was  pronounced.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In a case of life or death as stated earlier,  the  presiding  officer  must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show a high decree of concern for the statutory right  of  the  accused  and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should not treat it as a mere formality to  be  crossed  before  making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choice of sentence. If the choice is made, as in this case,  without  giving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the accused an effective and real  opportunity  to  place  his  antecedents,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social and economic background, mitigating  and  extenuating  circumstances,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etc., before the court, the  court’s  decision  on  the  sentence  would  be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vulnerable. We need hardly mention that in many cases a sentencing  decision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has far more serious consequences on the offender  and  his  family  members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than  in  the  case  of  a  purely  administrative  decision;  a   fortiori,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therefore, the principle of fair play must apply with greater vigour in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case of the former than the latter. An administrative decision having  civil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consequences, if taken without giving a hearing is generally struck down  as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violative of the rule of natural justice.  Likewise  a  sentencing  decision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taken without following the requirements of sub-section (2) of  Section  235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of the Code in letter and spirit would also meet  a  similar  fate  and  may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have to be replaced by an  appropriate  order.  The  sentencing  court  must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approach the question seriously and must  endeavour  to  see  that  all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relevant facts and circumstances bearing on the  question  of  sentence  are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brought on record. Only after giving due weight to the  mitigating  as  well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as the aggravating circumstances placed before it,  it  must  pronounce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sentence. We  think  as  a  general  rule  the  trial  courts  should  after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recording the conviction adjourn the matter to a future date and  call  upon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both the prosecution as well as the defence to place the  relevant  material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bearing on the question of sentence before it and thereafter  pronounce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sentence to be imposed on the offender. In the present case, as pointed  out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earlier, we  are  afraid  that  the  learned  trial  Judge  did  not  attach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sufficient importance to the mandatory requirement  of  sub-section  (2)  of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Section 235 of the Code. The High Court also had before it only  the  scanty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material placed before the learned Sessions  Judge  when  it  confirmed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death penalty.”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12.   Thus, we find the accused respondents guilty under Section 20 of  NDPS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Act for possession of 11 Kgs. Ganja. The commercial quantity of Ganja is  20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Kgs. or more, and the accused are in possession of  small  quantity  as  per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the Notification of the Central Government providing  small  and  commercial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quantities of various contrabands. In view of this, we convict  the  accused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persons (Asha Devi and her husband Om Prakash) under Section 20 of the  NDPS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Act and sentence them to simple imprisonment for five years.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13.   Before sentencing, following the  principle  laid  down  in  Allauddin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Mian  (supra),  this  matter  was  adjourned,  giving  a   chance   to 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respondents/accused to place  facts  before  us  and  further  directed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appellant to find out about  the  conduct  of  the  respondents  after  this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incident and to inform this Court.   On  the  adjourned  date,  the  learned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counsel for the appellant and learned counsel  for  the  respondents/accused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expressed that the respondents thereafter were not found  to  be  implicated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in any other matter. After hearing the learned counsel for the  parties  and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after giving due weight  to  the  mitigating  as  well  as  the  aggravating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circumstances placed before us, we think that it would be proper for  us  to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convict the accused persons with the sentence  passed  by  us,  which  would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serve the purpose.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14.   Accordingly, we set aside the judgment and order passed  by  the  High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Court as also by the Trial Court and  direct  that  the  accused/respondents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shall be taken into custody forthwith to undergo the  sentence.  The  appeal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is accordingly allowed.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….....….……………………J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(Pinaki Chandra  Ghose)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….....…..…………………..J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(Uday Umesh Lalit)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New Delhi;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May 12, 2015.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ITEM NO.1B               COURT NO.11               SECTION IIB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(For judgment)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 xml:space="preserve">               S U P R E M E  C O U R T  O F  I N D I A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 xml:space="preserve">                       RECORD OF PROCEEDINGS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 xml:space="preserve">                     Criminal Appeal  No(s).  1953/2009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STATE OF HARYANA                                   Appellant(s)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 xml:space="preserve">                                VERSUS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ASHA DEVI &amp; ANR.                                   Respondent(s)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Date : 12/05/2015      This appeal was called on for pronouncement of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 xml:space="preserve">            judgment today.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For Appellant(s) Mr. Rakesh K. Mudgal, AAG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 xml:space="preserve">                       Mr. Dinesh Mudgal, Adv.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 xml:space="preserve">                       For Mr. Sanjay Kumar Visen, AOR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For Respondent(s)      Mr. Ravi Kumar Tomar, AOR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 xml:space="preserve">      Hon'ble Mr. Justice Pinaki Chandra  Ghose  pronounced  the  reportable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judgment of the Bench comprising His Lordship and Hon'ble Mr.  Justice  Uday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Umesh Lalit.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 xml:space="preserve">      The appeal is allowed in terms of the signed  reportable  judgment  as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follows: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 xml:space="preserve">      “Accordingly, we set aside the judgment and order passed by  the  High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Court as also by the Trial Court and direct that the     accused/respondents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shall be    taken into custody    forthwith to    undergo the sentence.  The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>appeal is accordingly allowed.”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 xml:space="preserve">      (R.NATARAJAN)                                 (SNEH LATA SHARMA)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 xml:space="preserve">       Court Master                                    Court Master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C66">
        <w:rPr>
          <w:rFonts w:ascii="Times New Roman" w:hAnsi="Times New Roman" w:cs="Times New Roman"/>
          <w:sz w:val="25"/>
          <w:szCs w:val="25"/>
        </w:rPr>
        <w:t xml:space="preserve">            (Signed reportable judgment is placed on the file)</w:t>
      </w: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C66" w:rsidRPr="00B96C66" w:rsidRDefault="00B96C66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E65D7" w:rsidRPr="00B96C66" w:rsidRDefault="009E65D7" w:rsidP="00B96C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9E65D7" w:rsidRPr="00B96C66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AA7" w:rsidRDefault="00E21AA7" w:rsidP="00607A95">
      <w:pPr>
        <w:spacing w:after="0" w:line="240" w:lineRule="auto"/>
      </w:pPr>
      <w:r>
        <w:separator/>
      </w:r>
    </w:p>
  </w:endnote>
  <w:endnote w:type="continuationSeparator" w:id="1">
    <w:p w:rsidR="00E21AA7" w:rsidRDefault="00E21AA7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E21AA7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AA7" w:rsidRDefault="00E21AA7" w:rsidP="00607A95">
      <w:pPr>
        <w:spacing w:after="0" w:line="240" w:lineRule="auto"/>
      </w:pPr>
      <w:r>
        <w:separator/>
      </w:r>
    </w:p>
  </w:footnote>
  <w:footnote w:type="continuationSeparator" w:id="1">
    <w:p w:rsidR="00E21AA7" w:rsidRDefault="00E21AA7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56A12"/>
    <w:rsid w:val="000C4D41"/>
    <w:rsid w:val="001676B9"/>
    <w:rsid w:val="001D1B2C"/>
    <w:rsid w:val="001D7193"/>
    <w:rsid w:val="00250000"/>
    <w:rsid w:val="002A74C5"/>
    <w:rsid w:val="002D49A2"/>
    <w:rsid w:val="003635C8"/>
    <w:rsid w:val="003D1C2B"/>
    <w:rsid w:val="003E57BE"/>
    <w:rsid w:val="00421961"/>
    <w:rsid w:val="004903D4"/>
    <w:rsid w:val="004E72C2"/>
    <w:rsid w:val="00583F6E"/>
    <w:rsid w:val="00597989"/>
    <w:rsid w:val="00602576"/>
    <w:rsid w:val="00607A95"/>
    <w:rsid w:val="006450CE"/>
    <w:rsid w:val="00656C61"/>
    <w:rsid w:val="006D1E00"/>
    <w:rsid w:val="00736E37"/>
    <w:rsid w:val="007871DF"/>
    <w:rsid w:val="008175C5"/>
    <w:rsid w:val="008810B5"/>
    <w:rsid w:val="00894BD6"/>
    <w:rsid w:val="008D5A3D"/>
    <w:rsid w:val="008E451C"/>
    <w:rsid w:val="00972E0A"/>
    <w:rsid w:val="009E65D7"/>
    <w:rsid w:val="009F1CE9"/>
    <w:rsid w:val="009F5096"/>
    <w:rsid w:val="00A90860"/>
    <w:rsid w:val="00B12CA5"/>
    <w:rsid w:val="00B4276B"/>
    <w:rsid w:val="00B559B2"/>
    <w:rsid w:val="00B96C66"/>
    <w:rsid w:val="00BC29A6"/>
    <w:rsid w:val="00BC46A7"/>
    <w:rsid w:val="00C53EC7"/>
    <w:rsid w:val="00C76C34"/>
    <w:rsid w:val="00C878B4"/>
    <w:rsid w:val="00C87DB8"/>
    <w:rsid w:val="00D37FDB"/>
    <w:rsid w:val="00D975BB"/>
    <w:rsid w:val="00E21AA7"/>
    <w:rsid w:val="00E300C3"/>
    <w:rsid w:val="00F97722"/>
    <w:rsid w:val="00FB697F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3033</Words>
  <Characters>17291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2016-05-04T05:40:00Z</dcterms:created>
  <dcterms:modified xsi:type="dcterms:W3CDTF">2016-05-04T05:40:00Z</dcterms:modified>
</cp:coreProperties>
</file>