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NON-REPORTABLE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           IN THE SUPREME COURT OF INDIA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            CIVIL APPELLATE JURISDICTION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          CIVIL APPEAL NO. 4370 OF 2015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   (Arising Out of SLP (C) No. 29960 of 2014)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RAJ KUMAR DIXIT                           …APPELLANT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                         Vs.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M/S.VIJAY KUMAR GAURI SHANKER,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KANPUR NAGAR                             …RESPONDENT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V. GOPALA GOWDA, J.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Leave granted.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This appeal is directed against  the  impugned  final  judgment  and  order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dated 02.07.2014 passed by the High Court of  Judicature  at  Allahabad,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Writ Petition No.19573 of 2010, whereby the High Court quashed the  judgment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order of the Labour Court, Kanpur, in Adjudication Case  No.66  of  2009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dated 03.07.2009, wherein the Labour Court  directed  the  reinstatement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appellant-workman in his post along with 50% back wages. The High  Court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modified the Award by granting compensation of Rs. 2 lakhs  to  be  paid  to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appellant-workman in place of the Award passed by the Labour Court.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The factual matrix and the rival legal contentions urged on behalf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parties are briefly stated hereunder with a view to  find  out  whether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impugned judgment and order of the High Court warrants interference by  this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Court in exercise of its appellate jurisdiction  and  for  what  relief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appellant is entitled to?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M/s.Vijay Kumar Gauri Shanker, the respondent-firm  herein,  was  carrying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on the business of transporting caustic  soda  from  M/s.Modi  Alkalies  and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Chemicals Ltd. in Alwar, Rajasthan. For the said  purpose,  the  respondent-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firm was in possession of seven tankers which  were  used  for  transporting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caustic soda from Alwar to the place of supply.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lastRenderedPageBreak/>
        <w:t xml:space="preserve">   It is the case of the appellant that he was working as an accounts  clerk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the respondent-establishment from the year 1994  and  was  looking  after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all the factories of the respondent-establishment. Apart from  that  he  was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charge of maintenance  of  all  the  seven  tankers  in  the  respondent-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and was also looking after  the  transport  office  and  court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work of the respondent-employer and in return he was being  paid  Rs.1,800/-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per month along with bonus as  was  being  paid  to  other  workmen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respondent-establishment.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On 11.6.2001, when the  appellant  who  had  fallen  sick  approached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respondent-firm for his outstanding salary, the  respondent-firm  terminated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him from his services.  However, the workmen who were  junior  to  him  were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still  working  in  the  respondent-establishment.   The   appellant-workman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requested for reinstatement of his services in his post but the  respondent-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refused the same which action amounts to retrenchment as  they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have done so without following the mandatory conditions  as  provided  under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Section 6N of the Uttar Pradesh Industrial Disputes Act, 1947  (hereinafter,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“the Act”). Aggrieved by the order of termination, the appellant  raised  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industrial dispute  before  the  Labour  Court,  Kanpur  narrating  all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relevant facts and grounds in support of his claim.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The Labour Court on the basis of the pleadings of  the  parties  and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accordance with the claim and written statements  of  the  appellant  and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respondent and on re-appreciation of the evidence on record  adjudicated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existing  industrial  dispute  between  the  parties  and  recorded  its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finding on the points of dispute referred to it in favour of  the  appellant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which are extracted in the narration of the facts and based on the  evidence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circumstances of the case, it held that  the  appellant  was  under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employment of the respondent-firm and terminating him from his  services  by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respondent-firm is in contravention to the provisions of Section 6N  and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other provisions of the Act which is improper and illegal. The Labour  Court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directed the respondent-firm to reinstate him in the said post and  pay  him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50% back wages from the date of termination till the date of passing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Award.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The correctness of the said  Award  was  challenged  by  the  respondent-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before the High Court by filing writ petition  urging  various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legal grounds. The High Court, based on the findings  and  reasons  recorded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on the points of dispute, held that the  termination  order  passed  against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appellant-workman is not legal.  The  High  Court  in  exercise  of  its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judicial review power  under  Article  227  of  the  Constitution  of  India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modified the Award passed by the Labour Court, holding that the workman  has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neither stated anything with  regard  to  his  gainful  employment  nor  any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averments were made by him in  this  regard  during  the  aforesaid  period.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Therefore, awarding 50% back wages in favour of the workman  by  the  Labour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Court in its Award is held to be not justified and the High  Court  modified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Award by awarding Rs.2 lakhs compensation in lieu of reinstatement  with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50% back wages as awarded by the Labour Court.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The appellant-workman aggrieved by the judgment  and  order  of  the  High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Court has filed this appeal by special leave, urging various  legal  grounds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support of his claim and prayed this Court  to  set  aside  the  impugned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judgment and order of the High Court  and  restore  the  Award  and  further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direct the respondent to reinstate him in his post and  pay  him  full  back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wages from the date of the Award passed by the Labour Court.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It has been contended by the learned counsel on  behalf  of  the  appellant-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workman that the services  of  the  workman  have  been  terminated  without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complying with the mandatory provisions  of  Section  6N  of  the  Act.  His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juniors  are  still  continuing  in  the  employment  of   the   respondent-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while  his  services  were  arbitrarily  terminated  which  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contrary to the law laid down by this  Court  in  a  catena  of  cases.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learned  counsel  has  further  contended  that  the   respondent-firm   has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erroneously claimed that the appellant-workman is not  an  employee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firm as he was carrying out the work  of  advocacy  in  the  courts  on  its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behalf whenever the tankers of the respondent-firm met with an accident.  It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has been further contended by him that the maintenance of  the  tankers  was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done by the appellant-workman  in  the  capacity  of  the  employee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respondent-firm as the said work could be carried out by an employee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respondent-firm only. It has been further contended by the  learned  counsel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on behalf of the appellant-workman that the High  Court  has  erred  in  its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decision in holding that the  reinstatement  of  the  appellant-workman  was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unjustified since the respondent-firm has  closed  down  its  business.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High Court has further erred in its decision  in  holding  that  the  Labour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Court was not justified in passing an Award of reinstatement of the  workman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his post with 50%  back  wages  as  the  Labour  Court  in  another  case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involving the driver working at the  establishment  of  the  respondent-firm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has not ordered his reinstatement which fact of  the  case  could  not  have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applied to the fact situation of the present  case  as  only  the  transport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business of the respondent-firm has closed down  and  its  other  businesses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are still continuing and the appellant-workman was working in  the  capacity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an accounts clerk of the respondent-firm which does  not  disqualify  him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from reinstatement in his post.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On the other hand, it has been contended by the learned  counsel  on  behalf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the  respondent-firm  that  the  appellant-workman  has  not  placed  any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evidence on record, either oral or documentary to the effect that he was  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accounts clerk employed in the respondent-firm  and  as  such  there  is  no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master-servant relationship between him and the respondent-firm. Hence,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provisions of Section  6N  of  the  Act  are  not  applicable  to  the  fact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situation of the present case. It has been further  submitted  by  him  that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management of the respondent-firm gave special power of Attorney to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appellant-workman for the purpose of getting the tankers released  from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custody of the police or the court and he has worked in that  capacity  only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nothing more. For the said work the respondent-firm  used  to  give  him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fee for all the necessary expenses that he would incur with  regard  to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release of the tankers of  the  respondent-firm  from  the  custody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police or the court.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It has been further contended by the learned counsel that  since  M/s.  Modi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Alkalies and Chemicals Ltd. has been closed down in the year  2000  and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work of transporting caustic soda  from  the  said  factory  was  completely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stopped, therefore, the tankers of the respondent-firm  were  sold  off  and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all  the  licenses  of  the  tankers  were  surrendered  to  the  respective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authority. Hence, the Labour Court has erred in  directing  the  respondent-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firm to reinstate the workman with 50% back wages  and  the  same  has  been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rightly quashed by the High Court and modified the Award  by  awarding  Rs.2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lakhs towards compensation in lieu of reinstatement and back  wages  awarded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by the Labour Court.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We have heard both the learned counsel on behalf  of  the  parties.  On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basis of the aforesaid rival  legal  contentions  urged  on  behalf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parties and on perusal of the findings recorded by the Labour Court  in  its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Award, we have to answer the points of dispute  on  the  basis  of  evidence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produced on record. We are of the view that the  conclusion  arrived  at  by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High Court is erroneous in law in holding  that  the  appellant  workman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was not in employment under  the  respondent-firm  and  it  has  erroneously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quashed the Award of reinstatement of the appellant-workman  passed  by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Labour Court along with 50%  back  wages.  In  support  of  the  above  said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conclusion arrived at by us, we record our reasons hereunder:-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It is an admitted fact that the respondent-firm used  to  authorise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appellant-workman on its behalf to do the work of releasing of  the  tankers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the respondent-firm from the custody of police or the court whenever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tankers met with an accident and a special power of  Attorney  was  executed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by the respondent-firm in this regard  to  the  appellant-workman.  Further,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respondent-firm also used to give him advance amount  for  the  expenses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that he would incur for carrying out the said  work.  The  appellant-workman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was also given bonus every year and the same has been recorded in the  cash-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book of the respondent-firm. The fact  that  the  respondent-firm  is  still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continuing with its business of trading betel nut and the new plea that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transport business of the respondent-firm has been shut down has  also  been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considered by us. The question that arises for  our  consideration  in  this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case, keeping in view the relevant facts, circumstances and the evidence  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record is that whether the appellant-workman was gainfully employed  in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capacity of the clerk in the establishment of the respondent  firm  or  not.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same is answered by the Labour Court in the positive, on  the  basis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evidence on record in favour of the appellant for the  reason  that  one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would not simply authorize a person who is  not  even  an  employee  of  its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for carrying on with the work of getting the tankers  released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from the custody of the police or the court. Further, the bonus received  by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workman is only given in the case where he  would  be  employed  in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of the respondent-firm. Thus, the contention  of  the  learned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counsel on behalf of the respondent-firm that the appellant-workman  is  not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 employee  of  the  respondent-firm  and  there  is  no   master-servant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relationship between them, was rightly  rejected  by  the  Labour  Court  by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recording its reasons and holding that the concerned  workman  was  employed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the establishment of the respondent-firm. Further, the payment of  labour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charges for the repair of the tankers was given to the workman through  bill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or voucher separately,  instead  of  it  being  mentioned  directly  in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invoices of the repair of the tankers, which evidence was  produced  by  him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before the Labour Court, the same  is  rightly  accepted  by  it  on  proper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appreciation in exercise of its original jurisdiction.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Further, various records such as court orders or the  report  given  at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police station were placed on record before the  Labour  Court  which  would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clearly  show  that  the  appellant-workman  worked  in  the   capacity 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Munim/Clerk/Manager in the establishment of the  respondent-firm.  Even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power of Attorney executed by the respondent-firm clearly  states  that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appellant-workman was authorised to carry out whatever action  necessary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connection with the release of the tankers  of  the  respondent-firm  either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from the police custody or the court. Thus,  it  is  clear  from  the  above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evidence produced on record by the appellant before the  Labour  Court  that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he has worked in the capacity of not only a mechanic  in  the  establishment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the respondent-firm but also as  an  accounts  clerk.  The  witnesses  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behalf of the respondent-firm had further deposed before  the  Labour  Court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that the appellant-workman used to carry out the repair work of the  tankers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the respondent-establishment on a regular basis and  the  said  work  was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done by the appellant-workman only.  Therefore, in the light  of  the  facts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circumstances of the case and the evidence  admitted  on  record  before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Labour Court and produced before this Court, it is amply clear that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appellant-workman was employed in the establishment of  the  respondent-firm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he used to  carry  out  the  business  of  the  respondent-firm  in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capacity of an employee/clerk  and  not  just  a  third  party  agent  or  a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mechanic. Therefore, the High Court has gravely erred in quashing the  Award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reinstatement of  the  appellant-workman  with  50%  back  wages  in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of the respondent-firm by  awarding  a  compensation  of  Rs.2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Lakhs in lieu of the same which modification of  the  Award  of  the  Labour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Court is not  only  erroneous  but  also  suffers  from  error  in  law  and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therefore, the same is liable to be quashed by this Court.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Awarding compensation to an amount of Rs. 2 lakhs  to  the  workman  by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High Court in lieu of reinstatement of the appellant-workman along with  50%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back wages is once again contrary to the well settled principles of  law  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has been laid down by this Court in a catena  of  cases,  particularly,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case of  Punjab  Land  Development  and  Reclamation  Corporation.  Ltd.  v.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Presiding Officer, Labour Court,[1]  wherein  the  Constitution  Bench  held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that the order of termination simpliciter has to be held bad in law for non-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compliance of the mandatory requirements provided under the Act and  further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held that the order of termination will be rendered  void-ab-initio  in  law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therefore, the workman is entitled for all  benefits  for  which  he  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legally entitled to in law.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High Court has exceeded in its jurisdiction in setting aside  the  Award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passed by the Labour Court  in  awarding  reinstatement  of  the  appellant-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workman in his post along with 50% back wages which is erroneous in  law  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High Court has not noticed the fact that the appropriate Government  has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referred the dispute to the Labour Court for its adjudication on the  points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dispute referred to it. Since, there was non-compliance of the  mandatory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requirements as provided under the provisions of the Act by the  respondent-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firm at the time of passing an order of termination against  the  appellant-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workman, therefore, the same has been held to be bad in law and as  such  it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should have awarded full  back  wages  to  the  workman  from  the  date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termination till the date of passing the Award unless  the  employer  proves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that the workman was gainfully employed during the  aforesaid  period  which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fact is neither pleaded nor proved before the Labour Court.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Therefore, the impugned judgment of the High Court is  bad  in  law  as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normal rule to be  followed  by  the  respondent-firm  with  regard  to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termination of the services of the workman has not been done in the  present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case and further, the High Court has once again exceeded in its  supervisory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jurisdiction in exercise of its judicial review power under Article  227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Constitution of India by setting aside the Award of  reinstatement  with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50% back wages passed by the Labour  Court  and  has  instead  awarded  Rs.2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lakhs as compensation to the appellant-workman which is contrary to the  law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laid down by this Court. The High  Court  cannot  exercise  its  supervisory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jurisdiction and act as either original court  or  appellate  court  to  set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aside the finding of fact recorded on the points of dispute referred to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Labour Court on proper appreciation of pleadings and evidence on  record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favour of the workman as has been done in the instant  case.  The  Award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compensation of Rs.2 Lakhs awarded in place of reinstatement with  50%  back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wages as awarded by the Labour Court has been modified  by  the  High  Court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without assigning any cogent and valid reason which is  not  only  erroneous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law but suffers from error in law as well, as the  same  is  contrary  to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catena of decisions of this Court. On this ground itself,  the  impugned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judgment of the High Court is liable to be set aside and we  pass  an  order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to restore the Award passed by the Labour Court. Reliance  has  been  placed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 the  case  of  Syed  Yakoob  v.  K.S.  Radhakrishan[2]  which  has  been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elaborately considered by this Court in  the  case  of  Harjinder  Singh  v.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Punjab State Warehousing Corporation[3], the relevant para  of  which  reads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thus: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“12. In Syed Yakoob case, this Court delineated the scope  of  the  writ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certiorari in the following words: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“7. The question about the limits of the  jurisdiction  of  High  Courts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issuing  a  writ  of  certiorari  under  Article  226  has  been  frequently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considered by this Court and the true legal position in that  behalf  is  no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[pic]longer in doubt. A writ of certiorari  can  be  issued  for  correcting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errors of jurisdiction committed by inferior courts or tribunals: these  are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cases where orders are  passed  by  inferior  courts  or  tribunals  without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jurisdiction, or is in excess of it, or as a result of failure  to  exercise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jurisdiction.  A  writ  can  similarly  be  issued  where  in  exercise 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jurisdiction conferred on it,  the  court  or  tribunal  acts  illegally  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improperly, as for  instance,  it  decides  a  question  without  giving  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opportunity to be heard to the party affected by the  order,  or  where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procedure adopted in dealing with the dispute is opposed  to  principles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natural justice. There is, however, no doubt that the jurisdiction to  issue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 writ of certiorari is a supervisory jurisdiction and the court  exercising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it  is  not  entitled  to  act  as  an  appellate  court.  This   limitation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necessarily means that findings of fact reached by  the  inferior  court  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tribunal as result of the appreciation of evidence  cannot  be  reopened  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questioned in writ proceedings. An error of law which  is  apparent  on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face of the record can be corrected by a writ, but not  an  error  of  fact,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however grave it may appear to be. In regard to a finding of  fact  recorded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by the tribunal, a writ of certiorari can be issued if it is shown  that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recording the said finding, the tribunal had erroneously  refused  to  admit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admissible and material evidence, or had erroneously  admitted  inadmissible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evidence which has influenced the impugned finding. Similarly, if a  finding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fact is based on no evidence, that would be regarded as an error  of  law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which can be corrected by  a  writ  of  certiorari.  In  dealing  with  this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category of cases, however, we must always bear in mind that  a  finding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fact recorded by the tribunal cannot be  challenged  in  proceedings  for  a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writ of certiorari on the ground that the  relevant  and  material  evidence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adduced before the tribunal was insufficient or inadequate  to  sustain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impugned finding. The adequacy or sufficiency of evidence  led  on  a  point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the inference of fact to be drawn from the said finding are  within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exclusive jurisdiction of the  tribunal,  and  the  said  points  cannot  be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agitated  before  a  writ  court.  It  is  within  these  limits  that 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jurisdiction conferred on the High Courts under Article 226 to issue a  writ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certiorari can be legitimately exercised  (vide  Hari  Vishnu  Kamath  v.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Ahmad Ishaque, Nagendra Nath Bora v. Commr. of Hills Division and  Kaushalya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Devi v. Bachittar Singh).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8. It is, of course, not easy to  define  or  adequately  describe  what  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error of law apparent  on  the  face  of  the  record  means.  What  can  be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corrected by a writ has to be an error of law; but it must be such an  error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law as can be regarded as one which  is  apparent  on  the  face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record. Where it is manifest or clear that the conclusion  of  law  recorded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by an inferior court or tribunal is based on  an  obvious  misinterpretation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the relevant statutory provision, or sometimes in  ignorance  of  it,  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may be, even in disregard of it, or is expressly founded  on  reasons  which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[pic]are wrong in law, the said conclusion can be corrected  by  a  writ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certiorari. In all  these  cases,  the  impugned  conclusion  should  be  so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plainly  inconsistent  with  the  relevant  statutory  provision   that   no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difficulty is experienced by the High Court in holding that the  said  error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law is apparent on the face of the record. It may also be  that  in  some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cases, the impugned error of law may not be obvious or patent  on  the  face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the record as such and the court may need an  argument  to  discover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said error; but there can be no doubt that what can be corrected by  a  writ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certiorari is an error of law and the said error must, on the  whole,  be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such a character as would satisfy the test that it is  an  error  of  law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apparent on the face of the record. If a statutory provision  is  reasonably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capable of two constructions and one construction has been  adopted  by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inferior court or tribunal, its conclusion may not necessarily or always  be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open to correction by a writ of certiorari. In our opinion,  it  is  neither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possible  nor  desirable  to  attempt  either  to  define  or  to   describe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adequately all cases of errors  which  can  be  appropriately  described  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errors of law apparent on  the  face  of  the  record.  Whether  or  not  an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impugned error is an error of law and an error of law which is  apparent  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face of the record, must always depend upon the facts and  circumstances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each case and upon the nature and scope of the legal provision  which  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alleged to have been misconstrued or contravened.””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findings and reasons recorded by the High  Court  in  its  judgment  and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setting aside the award of the Labour Court is contrary to the  decision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this Court. Further, in the case of Deepali Gundu Surwase v.  Kranti  Junior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Adhyapak Mahavidyalaya[4], this Court, after adverting to  the  three  Judge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Bench judgment of this Court in the case of Surendra Kumar Verma v.  Central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Govt. Industrial Tribunal-cum-Labour Court[5], has categorically  held  that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termination order passed by  the  employer  is  the  subject  matter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dispute either before the Tribunal or before the Labour Court and it is  for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employer to show that the workman was gainfully employed from  the  date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of the termination till the date of passing of the Award so as to  deny  him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back wages and this Court further held that if the termination order is  set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aside, the award of reinstatement is the normal rule  and  awarding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back wages must follow, the same need not  be  awarded  if  the  workman  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either gainfully employed during  the  period  of  adjudication  or  if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employer is facing any financial crunch. The said decision of this Court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Deepali Gundu Surwase’s case reads thus: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“24. Another three-Judge Bench considered the same issue in  Surendra  Kumar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Verma v. Central Govt. Industrial Tribunal-cum-Labour Court and observed: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“6. … Plain common sense dictates that the removal of an  order  terminating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services of workmen must ordinarily lead to  the  reinstatement  of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services of the workmen. It is as if the order has never  been,  and  so  it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must ordinarily lead to  back  wages  too.  But  there  may  be  exceptional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circumstances which make it impossible or wholly inequitable  vis-à-vis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employer and workmen to direct  reinstatement  with  full  back  wages.  For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instance, the industry  might  have  closed  down  or  might  be  in  severe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financial doldrums; the workmen concerned might [pic]have secured better  or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other employment elsewhere and  so  on.  In  such  situations,  there  is  a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vestige of discretion left in the court to  make  appropriate  consequential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orders. The court may deny the relief of reinstatement  where  reinstatement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is impossible because the industry has closed down. The court may  deny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relief of award of full back wages where  that  would  place  an  impossible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burden on the employer. In such and other exceptional cases  the  court  may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mould the  relief,  but,  ordinarily  the  relief  to  be  awarded  must  be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reinstatement with full back wages. That relief must  be  awarded  where  no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special impediment in the way of  awarding  the  relief  is  clearly  shown.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True, occasional hardship may be caused to an employer but we must  remember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that, more often than not, comparatively far greater hardship is certain  to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be caused to the workmen if the relief is denied than  to  the  employer  if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relief is granted.”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contention urged on behalf of the  respondent-firm  that  the  Award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compensation of Rs.2 Lakhs in lieu of the reinstatement and 50%  back  wages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by the High Court is on account of the alleged  closure  of  the  respondent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establishment is neither supported by any  pleading  nor  any  evidence  has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been adduced before the Labour Court or this Court in  that  regard  by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respondent-establishment. If any additional material is produced before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High Court, the same would be impermissible in law for the reason  that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respondent-employer was  required  to  plead  with  regard  to  the  alleged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closure and substantial evidence must be produced in  support  of  the  same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before the Labour Court at the first instance, and no  such  plea  has  been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taken before the Labour Court by them. In absence of such a plea,  producing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additional documents by the respondent-establishment before the  High  Court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is totally impermissible in  law  for  the  reason  that  the  High  Court’s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jurisdiction is to examine the  correctness  of  the  Award  passed  by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Labour Court in exercise of its judicial review power under Article  227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Constitution of India which is very limited. In the present  case,  even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if we consider the facts, there is no additional material evidence  produced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on record before the High Court and it has no jurisdiction  to  receive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same and render its findings. Apart from the said  reason  no  other  reason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has been assigned by the High Court in its judgment and order for  modifying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Award passed by the Labour Court. Therefore, the legal contention  urged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in this regard on behalf of  the  respondent-establishment  is  misconceived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the same is liable to be rejected.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High Court has erred in its decision,  both  on  facts  and  in  law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setting aside the  order  of  reinstatement  with  50%  back  wages  to  the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workman. It is the workman  who  was  aggrieved  with  regard  to  the  non-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awarding of 50% back wages and this  aspect  of  the  matter  has  not  been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considered by the High Court while interfering with the Award of the  Labour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Court and awarding compensation  in  lieu  of  the  reinstatement  and  back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wages. Therefore, the appeal must succeed in this case. The  High  Court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awarding compensation to the workman has erroneously held that the order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reinstatement passed in favour of the appellant-workman is illegal and  void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ab initio in law without assigning valid and cogent reasons  and  therefore,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same is liable to be set aside  as  there  has  been  a  miscarriage  of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justice. The grounds urged by the appellant in this case  are  well  founded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and we accordingly pass the following order: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The Appeal is allowed. The impugned judgment and order passed  by  the  High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Court of Judicature at Allahabad in Writ Petition No. 19573  of  2010  dated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02.07.2014 is hereby set aside and the Award passed by the Labour  Court  in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awarding reinstatement with 50% back wages  from  the  date  of  termination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till the date of passing the Award by the Labour Cou</w:t>
      </w:r>
      <w:r>
        <w:rPr>
          <w:rFonts w:ascii="Times New Roman" w:hAnsi="Times New Roman" w:cs="Times New Roman"/>
          <w:sz w:val="25"/>
          <w:szCs w:val="25"/>
        </w:rPr>
        <w:t xml:space="preserve">rt is restore </w:t>
      </w:r>
      <w:r w:rsidRPr="00B03FDF">
        <w:rPr>
          <w:rFonts w:ascii="Times New Roman" w:hAnsi="Times New Roman" w:cs="Times New Roman"/>
          <w:sz w:val="25"/>
          <w:szCs w:val="25"/>
        </w:rPr>
        <w:t>We further direct the respondent-firm to pay full back wages to the  workma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03FDF">
        <w:rPr>
          <w:rFonts w:ascii="Times New Roman" w:hAnsi="Times New Roman" w:cs="Times New Roman"/>
          <w:sz w:val="25"/>
          <w:szCs w:val="25"/>
        </w:rPr>
        <w:t>from the date of passing of the Award by the Labour Court till the  date 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03FDF">
        <w:rPr>
          <w:rFonts w:ascii="Times New Roman" w:hAnsi="Times New Roman" w:cs="Times New Roman"/>
          <w:sz w:val="25"/>
          <w:szCs w:val="25"/>
        </w:rPr>
        <w:t>his reinstatement in service. The  order  shall  be  complied  with  by  th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03FDF">
        <w:rPr>
          <w:rFonts w:ascii="Times New Roman" w:hAnsi="Times New Roman" w:cs="Times New Roman"/>
          <w:sz w:val="25"/>
          <w:szCs w:val="25"/>
        </w:rPr>
        <w:t>respondent-firm within six weeks from the date of receipt of  copy  of  this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order.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……………………………………………………………………………………J.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[FAKKIR MOHAMED IBRAHIM KALIFULLA]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              ……………………………………………………………………………………J.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       [V. GOPALA GOWDA]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New Delhi,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May 12, 2015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[1]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 xml:space="preserve">       (1990) 3 SCC  682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[2]    (1964)  AIR SC 477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[3]    (2010) 3  SCC 192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[4]    (2013) 10 SCC 324</w:t>
      </w:r>
    </w:p>
    <w:p w:rsidR="00B03FDF" w:rsidRPr="00B03FDF" w:rsidRDefault="00B03FDF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03FDF">
        <w:rPr>
          <w:rFonts w:ascii="Times New Roman" w:hAnsi="Times New Roman" w:cs="Times New Roman"/>
          <w:sz w:val="25"/>
          <w:szCs w:val="25"/>
        </w:rPr>
        <w:t>[5]    (1980) 4 SCC 443</w:t>
      </w:r>
    </w:p>
    <w:p w:rsidR="009E65D7" w:rsidRPr="00B03FDF" w:rsidRDefault="009E65D7" w:rsidP="00B03F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B03FD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CF0" w:rsidRDefault="00E00CF0" w:rsidP="00607A95">
      <w:pPr>
        <w:spacing w:after="0" w:line="240" w:lineRule="auto"/>
      </w:pPr>
      <w:r>
        <w:separator/>
      </w:r>
    </w:p>
  </w:endnote>
  <w:endnote w:type="continuationSeparator" w:id="1">
    <w:p w:rsidR="00E00CF0" w:rsidRDefault="00E00CF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00CF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CF0" w:rsidRDefault="00E00CF0" w:rsidP="00607A95">
      <w:pPr>
        <w:spacing w:after="0" w:line="240" w:lineRule="auto"/>
      </w:pPr>
      <w:r>
        <w:separator/>
      </w:r>
    </w:p>
  </w:footnote>
  <w:footnote w:type="continuationSeparator" w:id="1">
    <w:p w:rsidR="00E00CF0" w:rsidRDefault="00E00CF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1676B9"/>
    <w:rsid w:val="001D1B2C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4B3662"/>
    <w:rsid w:val="004E72C2"/>
    <w:rsid w:val="00583F6E"/>
    <w:rsid w:val="00597989"/>
    <w:rsid w:val="00602576"/>
    <w:rsid w:val="00607A95"/>
    <w:rsid w:val="006450CE"/>
    <w:rsid w:val="00656C61"/>
    <w:rsid w:val="006D1E00"/>
    <w:rsid w:val="00736E37"/>
    <w:rsid w:val="007871DF"/>
    <w:rsid w:val="008175C5"/>
    <w:rsid w:val="008810B5"/>
    <w:rsid w:val="00894BD6"/>
    <w:rsid w:val="008D5A3D"/>
    <w:rsid w:val="008E451C"/>
    <w:rsid w:val="00972E0A"/>
    <w:rsid w:val="009E65D7"/>
    <w:rsid w:val="009F1CE9"/>
    <w:rsid w:val="009F5096"/>
    <w:rsid w:val="00A90860"/>
    <w:rsid w:val="00B03FDF"/>
    <w:rsid w:val="00B12CA5"/>
    <w:rsid w:val="00B4276B"/>
    <w:rsid w:val="00B559B2"/>
    <w:rsid w:val="00B96C66"/>
    <w:rsid w:val="00BC29A6"/>
    <w:rsid w:val="00BC46A7"/>
    <w:rsid w:val="00C53EC7"/>
    <w:rsid w:val="00C76C34"/>
    <w:rsid w:val="00C878B4"/>
    <w:rsid w:val="00C87DB8"/>
    <w:rsid w:val="00D37FDB"/>
    <w:rsid w:val="00D975BB"/>
    <w:rsid w:val="00E00CF0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4474</Words>
  <Characters>25506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2016-05-04T05:41:00Z</dcterms:created>
  <dcterms:modified xsi:type="dcterms:W3CDTF">2016-05-04T05:41:00Z</dcterms:modified>
</cp:coreProperties>
</file>