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REPORTABLE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CIVIL APPEAL NO.4394 OF 2015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(Arising out of S.L.P.(C) No. 38611 of 2012)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General of Income Tax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(Investigation) Pune &amp; Ors.                  .  ..   Appellants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M/s. Spacewood Furnishers Pvt. Ltd. &amp; Ors.   ...  Respondents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RANJAN GOGOI, J.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Leave granted.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block assessment of the respondent-assessee  for  the  assessment  years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2004-05 to 2009-10 was sought  to  be  initiated  by  notices  issued  under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Section 153A of the Income Tax Act, 1961 (hereinafter  referred  to  as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‘Act’) following a search made under the provisions of  the  Act.  The  same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has been interdicted by the High Court of  Delhi  by  interfering  with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warrant of authorization for the search issued under Section 132 of the  Act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the consequential search made between 19th  June,  2009  to  21st  July,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2009. Aggrieved, the Revenue has filed this appeal by  special  leave  under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Article 136 of the Constitution.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We have heard Shri Guru  Krishna  Kumar,  learned  senior  counsel  for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appellants and Shri Krishnan Venugopal,  learned  senior  counsel  appearing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the respondents.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 issues  that  arise  in  the  present  appeal  lie   within   a   short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circumference. As the warrant of authorization under Section 132,  which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required to be founded on a reasonable belief  of  the  authorized  official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regarding the existence of the conditions precedent to the exercise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power to issue the same, has been  interdicted  under  Article  226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Constitution, the ambit of the power of the High  Court  to  do  so  may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noticed at the outset.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“classical” notion of the extent of power  that  the  High  Court  would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lastRenderedPageBreak/>
        <w:t>have in the exercise of its writ jurisdiction to cause such interference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formulated in ITO vs. Seth  Brothers[1]  and  Pooran  Mal  vs.  Director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Inspection (Investigation), Income Tax[2].  The  parameters  of  permissible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interference as laid down in the aforesaid  two  decisions  have  stood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test of time and continue to hold the field even today. We  may,  therefore,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advert to ITO vs. Seth Brothers (supra) in the first instance.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Considering the scope of Section 132 of the Act in  ITO  vs.  Seth  Brothers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(supra), this Court at page 843 held that :-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“The section does not  confer  any  arbitrary  authority  upon  the  Revenue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Officers. The Commissioner or the  Director  of  Inspection  must  have,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consequence of information, reason to believe that the statutory  conditions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the exercise of the power to order search exist. He must record  reasons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the belief and he must issue an authorisation in favour of a  designated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officer to search the premises and exercise the powers set out therein.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condition for entry into and making search of any building or place  is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reason to believe that any books of account or other  documents  which  will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 useful for, or relevant to, any proceeding under the Act  may  be  found.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If the Officer has reason to believe that any  books  of  account  or  other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documents would be useful for, or relevant to,  any  proceedings  under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Act, he is authorised by law to  seize  those  books  of  account  or  other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documents, and to place marks of identification therein,  to  make  extracts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 copies therefrom and also to make a note or an inventory of any  articles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 other things found in the course of the search. Since by the exercise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power a serious invasion is made upon the rights,  privacy  and  freedom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the tax-payer, the power must be exercised strictly  in  accordance  with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law and only for the purposes for which the  law  authorizes  it  to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exercised. If the action of the officer issuing  the  authorization,  or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designated officer is challenged the officer concerned must satisfy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Court about the regularity of his  action.  If  the  action  is  maliciously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taken or power under the section is exercised for a collateral  purpose,  it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is liable to be struck down by the Court. If the conditions for exercise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power are not satisfied the proceeding is  liable  to  be  quashed.  But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where power is exercised bona fide, and  in  furtherance  of  the  statutory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duties of the tax officers  any  error  of  judgment  on  the  part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Officers will not vitiate the exercise of the power. Where the  Commissioner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entertains the requisite belief and for reasons recorded by  him  authorises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 designated officer to enter and search premises for books of  account  and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documents relevant to or useful for any proceeding under the Act, the  Court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 a petition by an aggrieved person cannot be asked to substitute  its  own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opinion whether an order authorising search should have been issued.  Again,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any irregularity in the course of entry, search  and  seizure  committed  by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officer acting in pursuance of the authorisation will not be  sufficient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vitiate the action taken, provided  the  officer  has  in  executing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authorisation acted bona fide.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Act and the Rules do not  require  that  the  warrant  of  authorisation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should specify the particulars of documents and books of accounts a  general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[pic]authorisation to search for and seize documents and  books  of  account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relevant to or useful for any proceeding complies with the  requirements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Act and the Rules. It is for the officer making the search  to  exercise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his judgment and seize or not to seize any documents or  books  of  account.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 error committed by the Officer in seizing documents which may  ultimately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 found not to be useful for or relevant to the proceeding  under  the  Act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will not by itself vitiate the search, nor will  it  entitle  the  aggrieved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person to an omnibus order releasing all documents seized.”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7.    In Pooran Mal vs. Director of Inspection  (supra)  the  constitutional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validity of Section  132  was  under  challenge.  While  negating  the  said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challenge, this Court at page 515 of its report had held that: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“Dealing first with the challenge under Article  19(1)(f)  and  (g)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Constitution it is to be noted that the impugned  provisions  are  evidently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directed against persons who are believed on good grounds to have  illegally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evaded the payment of tax on their income and property.  Therefore,  drastic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measures to get at such income and property  with  a  view  to  recover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government dues would  stand  justified  in  themselves.  When  one  has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consider the reasonableness of the  restrictions  or  curbs  placed  on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freedoms mentioned in Article 19(1)(f) and (g), one cannot  possibly  ignore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how such  evasions  eat  into  the  vitals  of  the  economic  life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community. It is a well-known fact of our economic life that  huge  sums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unaccounted money are in circulation  endangering  its  very  fabric.  In  a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country which has adopted high rates of taxation  a  major  [pic]portion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unaccounted money should normally fill the Government  coffers.  Instead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doing so it distorts the economy.  Therefore,  in  the  interest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community  it  is  only  right  that  the  fiscal  authorities  should  have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sufficient powers to prevent tax evasion.”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8.    What is significant and, therefore, must be noticed is  that  in  both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aforesaid two decisions while this Court has  emphasized  the  necessity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recording of reasons in support of the ‘reasonable  belief’  contemplated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by Section 132, nowhere, in either  of  the  decisions  any  view  had  been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expressed that the reasons recorded prior to authorizing  the  search  needs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be disclosed or communicated to the person against whom  the  warrant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authorization is issued. The same is the view expressed  by  this  Court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Dr. Pratap Singh vs. Director of Enforcement[3]  while  considering  a  pari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material provision in the Foreign Exchange Regulation Act.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“The material on which the officer has reasons  to  believe  that  any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documents will be useful for or relevant to any investigation  need  not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disclosed in the search warrant; such material may be secret, may have  been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obtained through intelligence, or even conveyed  orally  by  informants.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said case, the petitioner contended that, if the court is going to  look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into the file produced on behalf of the officer who authorized  the  search,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it must  be  disclosed  to  the  petitioner  so  that  the  petitioner  “can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controvert any false or wholly unreasonable material set out in  the  file”,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but the Supreme Court did not accept  this  submission.  The  Supreme  Court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also referred to an earlier decision in S. Narayanappa v. CIT [1967] 63  ITR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219 (SC), to hold that whether grounds for ordering search  were  sufficient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 not is not a matter for the court to investigate. However, the court  may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examine the question whether the reasons for  the  belief  have  a  rational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connection or a relevant bearing to the formation of the belief and are  not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extraneous or irrelevant for the purpose of the section.”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9.    The principles that can be deduced from  the  aforesaid  decisions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this Court which continue to hold the field without  any  departure  may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summarized as follows :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authority must have information in its possession on the basis of  which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 reasonable belief can be founded that-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concerned person has omitted or failed to produce books  of  account  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other documents  for production of which summons  or notice had been  issued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                  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such person will not produce such books of account or other  documents  even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if summons or notice is issued to him.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                  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(b)   such person is in possession of any money, bullion,  jewellery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 other valuable article which represents either wholly  or  partly  income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 property which has not been or would not be disclosed.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(ii)  Such information must be in  possession  of  the  authorized  official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before the opinion is formed.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(iii)       There must be application  of  mind  to  the  material  and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formation of opinion must be  honest  and  bonafide.  Consideration  of  any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extraneous or irrelevant material will vitiate the belief/satisfaction.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(iv)  Though  Rule  112(2)  of  the  Income  Tax  Rules  which  specifically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prescribed the necessity of recording of reasons before  issuing  a  warrant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authorization had been  repealed  on  and  from  1st  October,  1975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reasons for the belief found should be recorded.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(v)   The reasons, however, need not be communicated to the  person  against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whom the warrant is issued at that stage.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(vi)  Such reasons, however, may have to be placed before the Court  in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event of a challenge to formation of the belief of the  authorized  official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 which event the court (exercising jurisdiction under Article  226)  would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 entitled to examine the relevance of the reasons  for  the  formation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belief though not the sufficiency or adequacy thereof.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10.     Before proceeding further it will  be  necessary  to  take  note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certain other facts that may have a bearing to the issues at hand.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By Notification No.354 of 2001 dated 3.12.2001 in  exercise  of  the  powers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conferred by Section 120(1) &amp; (2) of the Act, the Central  Board  of  Direct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Taxes had directed the Directors of Income Tax (Investigation) specified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Column (2) of the Schedule to the said Notification to  exercise  the  power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vested in them under Section 132 of the Act in relation to  the  territorial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areas specified in Column (3)  of  the  Schedule.  By  virtue  of  the  said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notification  the  Director  of  Income  Tax  (Investigation),  Nagpur  i.e.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Appellant No.2 was authorized to exercise the power  under  Section  132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Act in respect of the territorial areas falling within the  jurisdiction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the CCIT Nagpur and CCIT Nasik in the State of Maharashtra.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11.   Notice must also be had of certain provisions contained in the  Search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Seizure Manual published by the Directorate of Income  Tax  with  regard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 the  preparation  of  satisfaction  note  and  issuing  of  warrant 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authorization under Section 132 of the  Act.  Para  2.38  of  the  aforesaid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Manual being relevant may be usefully extracted :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“2.38 The “satisfaction note” should ordinarily be initiated  by  the  ADIT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(Investigation)/DDIT (Investigation).  It  should  be  put  up  to  the  DIT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(Investigation) through  the  Joint/Additional  DIT  (Investigation),  along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with the detailed comments of the latter. The note must be recorded  in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secret file, already prepared for this purpose,  containing  material  like,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secret information collected from various sources, statement(s), if  any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 the  informant(s),  reference  to  tax  evasion  petition(s),  if   any,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surveillance reports and information relating to assessment(s),  returns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income, wealth, etc, where available.”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12.   It will also be required to be  noticed  that  by  Notification  dated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7.3.2001 administrative approval of  the  Director  General  of  Income  Tax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(investigation) was made mandatory before an  authorization  for  search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issued. The said requirement appears  to  have  been  brought  in  order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obviate a malafide search and to avoid undue harassment of the taxpayers.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13.   In the present case the satisfaction note(s) leading  to  the  issuing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the warrant of authorization against the respondent-assessee were  placed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before the High Court.  As it would  appear  from  the  impugned  order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contents thereof were  exhaustively reproduced by the High Court.  The  said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note(s) have also been placed before us. A perusal of the  file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containing the satisfaction note(s) indicate that on 8.6.2009 the  Assistant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of Income Tax (Investigation), Nagpur  had  prepared  an  elaborate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note containing several reasons as to why he had  considered  it  reasonable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believe that if summons or  notice  were  issued  to  the  respondent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produce the necessary books of account and documents, the same would not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produced. The Assistant Director  also  recorded  detailed  reasons  why  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entertains reasons to believe that the promoters of the  respondent-assessee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company would be found to be in  possession  of  money,  bullion,  jewellery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etc. which represents partly or wholly income which has not  been  disclosed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the purposes of the Act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14.   The said note was put  up  for  consideration  before  the  Additional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(Investigation) who on perusal of the same once again proceeded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record elaborate reasons for his belief that the  conditions  precedent  for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issuing warrant of  authorization  under  Section  132  does  exist  in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present case. Accordingly, the file  was  put  up  before  the  Director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Income Tax (Investigation), Nagpur for issuing of warrant  of  authorization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search of the residential as well as business premises of  the  assessee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its Directors, if the Director of Income Tax (Investigation), Nagpur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so satisfied. The aforesaid note of the Additional Director  (Investigation)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is dated 8.6.2009.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15.   The notes of the two officers i.e. Assistant Director  (Investigation)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Additional Director (Investigation) were perused and considered  by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(Investigation). The matter  was  also  discussed.  Thereafter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(Investigation) recorded the relevant facts of the  case  and  came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the following conclusion: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“On an overall appreciation of the facts of the case  I  am  satisfied  that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M/s. Spacewood Furnishers P Ltd is suppressing its income  substantially.  I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am also satisfied that the company is not likely to produce the  details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such unaccounted income and the books of accounts and  documents  containing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details of such unaccounted incomes and assets if notices were to be  issued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it u/131 or u/s.142(1) of the I T Act. It is also  reliably  learnt  that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Directors  S/Shri.  Kirit  Joshi  and  Vivek  Deshpande  and  associated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concerns M/S. i3Space Systems (India) P  Ltd.,  Spacewood  Exports  P  ltd.,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Spacewood Hongkong P Ltd., i3space Hongkong Ltd. and Spacewood  Nest  P  Ltd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are also in possession of undisclosed income / assets and  books,  documents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containing  details  of  such  unaccounted  incomes.  It  appears   that   a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substantial portion of such unaccounted money is being held  in  cash  also.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Directors are maintaining luxurious life styles out of such  unaccounted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income. I am also satisfied that these companies and the directors  are  not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likely to furnish the details of such  unaccounted  incomes  and  assets  if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notices were to be issued to them u/s.131 or 142(1) of the I.T.  Act.  I  am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therefore satisfied that this is a fit case for exercise  of  powers  vested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u/s.132 of the Act to search the persons (M/S. Spacewood Furnishers  P  Ltd,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its associated concerns and Directors  mentioned  above)  and  the  premises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mentioned in the note of the ADIT to seize unaccounted assets and  documents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evidences relating undisclosed income.”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The Director of Income Tax  (Investigation),  Nagpur  thereafter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put his signature dated 9.6.2009 on the said note.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16.   There is an endorsement to the following effect at the bottom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said note again under the signature of the Director (Investigation) –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“DGIT (Inv) Pune may kindly peruse the  above  satisfaction  note  and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grant administrative approval for the search and seizure action.”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17.   On 11.6.2009 the matter was considered  by  the  Director  General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Income Tax (Investigation) Pune who recorded the following view :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“I have gone through the notes of ADIT (Inv), Nagpur  and  Addl.DIT  (Inv.),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Nagpur. The satisfaction note of DIT (Inv.) Nagpur has also been perused.  I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find that DIT (Inv.) Nagpur has got adequate information to  arrive  at  his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that search and seizure action is required to be undertaken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case of M/s. Spacewood Furnishers P. Ltd. promoted by Shri  Kirit  Joshi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and Vivek Deshpande. Accordingly, the proposal of the DIT (Inv.)  Nagpur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take action u/s 132(1) of the Act is approved.”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18.   The High Court by the impugned order dated  9.12.2011  has  taken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view that in the present case there are  four  satisfaction  notes  of  four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different authorities. One of the said authority i.e. Assistant Director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 the competent authority under Section 132 of  the  Act.  The  Additional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and the  Director  who  are  competent  authorities  to  issue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warrant of authorization, though had recorded their satisfaction,  have  not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taken the final decision to issue the authorization and each such  authority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had passed on the file to his immediate  superior,  namely,  the  Additional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to the Director and the Director to the Director General. The  High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Court further held that it is eventually the Director General who  took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decision to issue the search warrant but the said decision was  not  on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basis of its own satisfaction but on the basis of the satisfaction  recorded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by the Director of Income Tax (Investigation). Consequently, the High  Court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held that the satisfaction mandated by Section 132 of the Act was  not  that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the authority who has issued the search warrant,  thereby  vitiating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authorization issued.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19.   The High Court further held that each of the  satisfaction  notes  was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 loose sheets of paper and not a part  of  a  single  file  maintained  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proper sequence and order with due pagination. Therefore, according  to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High Court, it  is  possible  that  the  file  containing  the  satisfaction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note(s) was manipulated and thus is of doubtful credibility.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20.   The  High  Court  also  held  that  the  materials  indicated  by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department in the counter  affidavit  and  the  additional  affidavit  filed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before it were at variance  with  what  was  revealed  by  the  satisfaction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note(s) placed before the Court. Even if the satisfaction  notes  alone  are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be gone by, the essential details with regard to source  of  information;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persons who were interrogated and  with  whom  discreet  enquiries  were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made  are  not  disclosed.  The  necessary  information  revealed  by   such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interrogation and discreet enquiries with regard to over  invoicing,  market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information etc. are  not  indicated.   Materials  like  high  growth,  high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profit margins, doubts about international brand and  details  thereof  etc.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as mentioned in the satisfaction note(s) are admitted and  known  facts  and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therefore  could  not  have  induced  the  requisite   belief.   The   above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constitutes the broad basis on which the High Court  thought  it  proper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cause inference with the measures undertaken  by  the  Revenue  against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assessee.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21.   Before we advert to the specific reasoning  of  the  High  Court,  one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specific aspect of the opinion expressed by  the  High  Court  needs  to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taken note of inasmuch as the precise position in law in this  regard  needs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 be  clarified.  The  above  aspect  is  highlighted  by  the   following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observations of the High Court expressed in  paragraph  6  of  the  impugned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order:-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“We, however, express that when the satisfaction  recorded  is  justiciable,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documents pertaining to such satisfaction  may  not  be  immune  and  if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appropriate prayer  is  made,  the  inspection  of  such  documents  may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required to be allowed.”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22.   In the light of the views expressed by this  Court  in  ITO  vs.  Seth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Brothers (supra) and Pooran Mal (supra), the above opinion expressed by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High Court is plainly incorrect. The  necessity  of  recording  of  reasons,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despite the amendment of Rule 112 (2) with effect from  1st  October,  1975,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has  been  repeatedly  stressed  upon  by  this  Court  so  as   to   ensure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accountability and  responsibility  in  the  decision  making  process.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necessity of recording of reasons also acts as a cushion in the event  of  a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legal challenge being made to the satisfaction reached.   Reasons  enable  a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proper judicial assessment of the decision taken by  the  Revenue.  However,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above,  by  itself,  would  not  confer  in  the  assessee  a  right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inspection of the documents or to a communication of  the  reasons  for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belief at the stage of issuing of the authorization. Any such view would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counter productive of the entire exercise contemplated  by  Section  132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Act. It  is  only  at  the  stage  of  commencement  of  the  assessment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proceedings after completion of the search and seizure,  if  any,  that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requisite material may have to be disclosed to the assessee.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23.   At this stage we would like to say that the High Court  had  committed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 serious error  in  reproducing  in  great  details  the  contents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note (s) containing the reasons for  the  satisfaction  arrived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at by the authorities under the Act. We have already indicated the time  and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stage at which the reasons recorded may be required to  be  brought  to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notice of the assessee. In the light of the above, we cannot approve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aforesaid part of the exercise undertaken by the High Court  which  we  will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understand to be highly premature; having the  potential  of  conferring  an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undue advantage to the assessee thereby  frustrating  the  endeavor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revenue, even if the High Court is eventually not to intervene in favour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assessee.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24.   Having clarified the above issue in the manner indicated, we may  turn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the reasons assigned by  the  High  Court  for  its  decision.  The  view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expressed by the High Court with regard to  the  satisfaction  note(s);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alleged absence of a final decision to issue the authorization at the  level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of  the  Additional  Director  and  the  Director;  the   absence   of   any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of the Director General who, according to the High  Court  took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decision to issue  the  authorization  are  all  seriously  flawed.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different steps in the decision making process is lucidly laid down  in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instructions contained in the search and seizure  manual  published  by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department, relevant part of which  has  been  extracted  above.  The  steps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delineated have been scrupulously followed. Besides we may take note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fact that the Additional Director was not one of the  competent  authorities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under Section 132 on 8.6.2009 (date of his note) inasmuch as it  is  by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Finance Act, 2009 effective from  19th  August,  2009  that  the  Additional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Director came to be included amongst the authorized  officials  though  with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retrospective effect from 1.10.1998. The reading of  the  relevant  part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satisfaction note of the Director goes to show  that  on  the  basis  of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materials produced satisfaction was duly recorded by him that  authorization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for search should be issued.  The  file  was  put  up  before  the  Director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General (Investigation) for accord of administrative  approval  as  required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by  Notification  dated  7.3.2001.  In  fact,  the  requirement  to   obtain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administrative approval is prompted by the need  to  provide  an  additional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safeguard to the tax payer. A careful reading of the order of  the  Director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General would go to show that all that he did was      to  record  the  view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that the satisfaction  of  the  Director,  Income  Tax  (Investigation)  was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reasonable and therefore administrative approval  should  be  accorded.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view taken by the High Court, therefore, cannot be sustained.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25.   The possibility of manipulation of the records as found  by  the  High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Court also does not commend  to  us  for  acceptance.  There  is  no  basis,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whatsoever, for coming to any such conclusion. Suspicion  ought  not  to  be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basis of any judicial order and this is where the High  Court  seems  to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have erred.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26.    The  remaining  findings  of  the  High  Court  with  regard  to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recorded by the authorities appear to be in the  nature  of  an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appellate exercise  touching  upon  the  sufficiency  and  adequacy  of  the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reasons and the authenticity and acceptability of the information  on  which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satisfaction had been reached by the authorities. Such an exercise is  alien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to the jurisdiction under Article 226 of the Constitution.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27.   In view of the foregoing discussions and for the reasons  alluded  to,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the order of the High Court dated 9.12.2011passed in W.P. No. 2150  of  2010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is set aside. The  proceedings  against  the  respondent-assessee  will  now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commence from the stage at which the same was interdicted by the High  Court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by its impugned order. Consequently, the appeal  filed  by  the  Revenue  is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allowed.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……………………………J.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[Ranjan Gogoi]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…………………..…………J.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[Pinaki Chandra Ghose]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New Delhi;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May 13, 2015.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[1]    1969 (74) ITR 836 (SC)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[2]    (1974) 93 ITR 505 (SC)</w:t>
      </w:r>
    </w:p>
    <w:p w:rsidR="00490C90" w:rsidRPr="00490C90" w:rsidRDefault="00490C90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90C90">
        <w:rPr>
          <w:rFonts w:ascii="Times New Roman" w:hAnsi="Times New Roman" w:cs="Times New Roman"/>
          <w:sz w:val="25"/>
          <w:szCs w:val="25"/>
        </w:rPr>
        <w:t>[3]    (1985 (155) ITR 166 (SC)</w:t>
      </w:r>
    </w:p>
    <w:p w:rsidR="009E65D7" w:rsidRPr="00490C90" w:rsidRDefault="009E65D7" w:rsidP="00490C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490C9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B1C" w:rsidRDefault="008D4B1C" w:rsidP="00607A95">
      <w:pPr>
        <w:spacing w:after="0" w:line="240" w:lineRule="auto"/>
      </w:pPr>
      <w:r>
        <w:separator/>
      </w:r>
    </w:p>
  </w:endnote>
  <w:endnote w:type="continuationSeparator" w:id="1">
    <w:p w:rsidR="008D4B1C" w:rsidRDefault="008D4B1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D4B1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B1C" w:rsidRDefault="008D4B1C" w:rsidP="00607A95">
      <w:pPr>
        <w:spacing w:after="0" w:line="240" w:lineRule="auto"/>
      </w:pPr>
      <w:r>
        <w:separator/>
      </w:r>
    </w:p>
  </w:footnote>
  <w:footnote w:type="continuationSeparator" w:id="1">
    <w:p w:rsidR="008D4B1C" w:rsidRDefault="008D4B1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873F2"/>
    <w:rsid w:val="001D1B2C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490C90"/>
    <w:rsid w:val="004B3662"/>
    <w:rsid w:val="004E72C2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871DF"/>
    <w:rsid w:val="008175C5"/>
    <w:rsid w:val="00824008"/>
    <w:rsid w:val="008810B5"/>
    <w:rsid w:val="00894BD6"/>
    <w:rsid w:val="008D4B1C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6C66"/>
    <w:rsid w:val="00BC29A6"/>
    <w:rsid w:val="00BC46A7"/>
    <w:rsid w:val="00C53EC7"/>
    <w:rsid w:val="00C76C34"/>
    <w:rsid w:val="00C878B4"/>
    <w:rsid w:val="00C87DB8"/>
    <w:rsid w:val="00D04C11"/>
    <w:rsid w:val="00D37FDB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2016-05-04T05:44:00Z</dcterms:created>
  <dcterms:modified xsi:type="dcterms:W3CDTF">2016-05-04T05:44:00Z</dcterms:modified>
</cp:coreProperties>
</file>