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 xml:space="preserve">                                                  REPORTABLE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 xml:space="preserve">                        IN THE SUPREME COURT OF INDIA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 xml:space="preserve">                        CIVIL APPELLATE JURISDICTION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 xml:space="preserve">                        CIVIL APPEAL NO. 6929 OF 2012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|JOSHI TECHNOLOGIES INTERNATIONAL INC.           |.....APPELLANT(S)        |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|VERSUS                                          |                         |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|UNION OF INDIA &amp; ORS.                           |.....RESPONDENT(S)       |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 xml:space="preserve">                               J U D G M E N T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A.K. SIKRI, J.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 xml:space="preserve">                 Present  appeal  impugnes  the  judgment  and  order  dated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28.05.2012 passed by the High Court of Delhi, thereby  dismissing  the  writ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petition which  was  filed  by  the  appellant.  It  so  happened  that  the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appellant had entered into two contracts dated 20.02.1995 with the Union  of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India, through Ministry of Petroleum and Natural Gas  (MoPNG)  in  the  year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1992 relating to exploration of certain oil fields which the Union of  India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had  selected  in  Gujarat  and  other  States.  These  contracts  were   on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production sharing basis for Dholka and Wavel Oil Fields  respectively.   It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started the production after  entering  into  the  contract  and  filed  its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income tax return on the income generated from the aforesaid production.  In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the returns, the appellant claimed benefit of Section 42 of the  Income  Tax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Act, 1961 (hereinafter referred to as the 'Act'). Section 42  is  a  special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provision for deductions in the case of business for prospecting,  etc.  for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mineral oil. It provides for certain additional allowances as are  specified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in the agreement, details thereof would be taken  note  of  hereinafter.  We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may, however, point out here itself that such allowances, as  stipulated  in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the Section, are to be specifically mentioned  in  the  agreement  as  well,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which is entered into with the Central Government and it is  also  necessary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that such an agreement  has  been  laid  on  the  Table  of  each  House  of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Parliament.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The Income Tax Authorities  extended  the  benefit  of  granting  deductions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under the aforesaid provisions  from  the  year  2001-02  (assessment  years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onwards)  when  the  appellant  commenced  commercial  production   in   the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aforesaid  two  oil  fields.  However,  while  making  assessment  for   the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Assessment Year 2005-06, the Assessing Officer observed that there  were  no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such provisions made  in  the  Agreements  which  were  signed  between  the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lastRenderedPageBreak/>
        <w:t>Central Government and the appellant and in the absence of such  stipulation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in the  agreement,  the  appellant  was  not  entitled  to  the  benefit  of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deductions under Section 42 of the Act. Realising that  the  Agreements  did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not contain such a provision, the appellant wrote to the MoPNG stating  that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though there was such an arrangement agreed  to  as  per  the  understanding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between the two parties, non-inclusion thereof was an  inadvertent  omission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in the Contracts that were signed. The MoPNG wrote to  Ministry  of  Finance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(MoF) accepting the aforesaid  omissions  and  requested  the  MoF  to  give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clarification in this behalf. As no clarification came  from  the  MoF,  the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Assessing Officer disallowed the claim for deduction under Section  42(1)(b)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and 42(1)(c) of the  Act.  At  this  stage,  the  appellant  preferred  writ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petition under Article 226 of the Constitution of India in  the  High  Court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of Delhi with the following prayers.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 xml:space="preserve">      “Therefore it is most respectfully prayed that this Hon'ble Court  may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be pleased to issue:-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(I)   A writ, direction or order declaring that the petitioner is  entitled,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in  respect  of  the  two  Production  Sharing  Contracts  dated  20.02.1995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executed with the  petitioner  for  the  Dholka  and  Wavel  Oil  Fields  in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Gujarat, to the benefit of the said deductions (set forth in Article  16  of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the MPSC and reproduced in Annexure P1) under Section 42 of  the  Income-Tax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Act, 1961, from the date of these Production Sharing Contracts, as has  been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stated and  declared  by  the  respondent  no.  1  (i.e.,  the  Ministry  of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Petroleum and Natural Gas) in several of its communications;  and  that  the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petitioner is entitled to the said Deductions on the  same  footing  as  all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other contractors who have executed PSCs with the Union of India;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(ii)  A writ, order or direction in the nature of  certiorari  quashing  the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impugned order dated 31.12.2007 issued  by  Respondent  No.  1;  the  notice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dated 28.03.2008 for re-opening of the petitioner's  income-tax  assessments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for the Assessment Years 2001-2002; 2002-2003 and 2003-2004 and  the  notice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dated 01.05.2008 for re-opening the assessment for the Assessment Year 2004-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05; and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(iii) Such other writ order or direction as  this  Hon'ble  Court  may  deem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just and proper in the circumstances of the case  and  in  the  interest  of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justice, be passed in favour of the petitioner.”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This writ petition which has been dismissed by the High Court vide  impugned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judgment dated 28.05.2012 holding that the appellant is not entitled to  any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deductions under Section 42 of the Act in the  absence  of  stipulations  to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this effect in the Contracts signed between the parties.  This  decision  is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the subject matter of challenge before us in the present appeal.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Now, the facts in detail: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 xml:space="preserve">                 The Union of India (“UOI”), through  the  MoPNG,  issued  a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Notice Inviting Tenders in August 1992 (“1992  NIT”),  along  with  a  Model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Production Sharing Contract  (“MPSC”),  for  “Development  of  Oil  and  Gas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Fields”  from various companies in relation to some selected oil  fields  in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Gujarat and other States. Article 16 of the above-mentioned  MPSC  contained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a  specific  provision,  which  provided  certain  financial  benefits   and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deductions  in  relation  to  taxes  etc.   that   would   be   allowed   to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contractors/developers, as per the requirements of Section 42 of the Act.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The MoF by its Office Memorandum dated  18.06.1992,  raised  an  issue  that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Section 293-A of the  Act  would  not  apply  to  contracts  of  the  nature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mentioned above, and that benefits under the special provisions  of  Section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42 of the Act would not be available  to  foreign  companies,  such  as  the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appellant, which enter into such contracts with the Central Government.  The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MoPNG by its Office Memorandum, dated 22.06.1992 (“OM”) referred  the  issue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to the Ministry of Law, Justice and  Company  Affairs  specifically  seeking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its opinion on applicability of Section 42 and Section 293-A of the  Act  to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the 1992 NIT and the MPSC.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The Ministry of Law gave its opinion dated 21.07.1992  to  the  effect  that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benefit of both Section 293A and Section 42 should be  extended  to  foreign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companies in order to make their participation in these oil fields viable.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The appellant (along with its erstwhile joint  venture  partner  Larsen  and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Toubro Ltd., whose stake was also subsequently acquired  by  the  appellant)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submitted its bid dated 29.03.1993 in response to the 1992 NIT.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The appellant was allotted the Dholka abnd Wavel Oil Fields in Gujarat  near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Ahmedabad, by the  MoPNG.  Two  production  sharing  contracts,  each  dated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20.02.1995, were executed by the appellant with the  MoPNG  for  Dholka  and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Wavel  Oil  Fields,  respectively  (the  “Two  PSCs”).  According   to   the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appellant, since no amendments to Article 16 of MPSC had been suggested  nor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contemplated b y the Union  of  India,  it  was  (and  is)  the  belief  and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legitimate expectation of the appellant that all the benefits, financial  or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otherwise, offered in Article 16 of the  MPSC  to  the  prospective  bidders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were duly included in the above two PSCs.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From 2001 the appellant commenced commercial production from the Dholka  and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Wavel Oil Fields (delayed on account of the UOI's  delay  in  handling  over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the fields) and availed the benefits of Section 42  Deductions  provided  in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Article 16 of the MPSC, which were duly allowed by the concerned Income  Tax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Officer  at  Ahmedabad.  The  UOI's  share  of  petroleum  profit  was  also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determined in accordance with the assumption that, and on the  consideration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that the appellant was entitled to the benefit of the Section 42  deductions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and the UOI consequently also enjoyed a larger quantum as petroleum  profits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that  it  otherwise  would  have.  The  accounts  and  calculations  of  the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appellant claiming the Section 42 deductions and passing on the  benefit  to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the UOI in the form of an increased quantum of petroleum profit in terms  of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the two PSCs , were duly audited and approved  by  the  MoPNG's   government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auditors.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While the things proceeded in the aforesaid manner, it so  happened  in  the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case of some other Production Sharing Contracts, which did not  specifically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contain the fiscal benefits and the deduction envisaged  by  Article  16  of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the MPSC, the Income Tax Authorities questioned  the  basis  on  which  such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assesses had claimed deduction/ allowances under Section 42.  This  move  of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the Income Tax Authorities prompted the MoPNG to write OM  dated  17.06.2005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to the MoF, Department of Revenue to  clarify  to  the  relevant  Income-Tax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Authorities that the provisions of Section 42 of the  Income-Tax  Act  would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be applicable to all PSCs, including those thirteen (13)  PSCs  executed  by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the Union of India, which did not expressly contain  these  provisions,  for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the purpose of computing profits and gains, after allowing  the  Section  42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deductions. The appellant's two PSCs are  among  these  thirteen  (13)  PSCs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referred to by the MoPNG in  this Office Memorandum. The OM  noted  that  it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would not be equitable and fair if Section  42  deductions  were  denied  in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respect of these 13 PSCs.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Since the entire dispute pertains to deductions  under  Section  42  of  the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Act, at this stage we reproduce the said provisions hereunder: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“42.  Special  provision  for  deductions  in  the  case  of  business   for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prospecting, etc., for mineral oil.—[(1)] For the purpose of  computing  the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profits or gains of any  business  consisting  of  the  prospecting  for  or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extraction or production of mineral oils in relation to  which  the  Central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Government  has  entered  into  an  agreement  with  any  person   for   the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association or participation 90[of the  Central  Government  or  any  person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authorised by it in such business] (which agreement has  been  laid  on  the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Table of each House of Parliament), there shall be made in lieu  of,  or  in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addition to, the allowances admissible under this Act,  such  allowances  as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are specified in the agreement in relation—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(a)   to expenditure by way of infructuous or abortive exploration  expenses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in respect of any area surrendered prior  to  the  beginning  of  commercial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production by the assessee;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(b)   after the beginning of commercial production, to expenditure  incurred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by the assessee, whether before or  after  such  commercial  production,  in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respect of drilling or exploration activities or services or in  respect  of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physical assets used in that connection, except assets  on  which  allowance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for depreciation is admissible under Section 32: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 xml:space="preserve">                 [Provided that in relation to any  agreement  entered  into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after the 31st day of March, 1981, this clause shall have effect subject  to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the modification  that  the  words  and  figures  "except  assets  on  which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allowance  for  depreciation  is  admissible  under  Section  32"  had  been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omitted; and]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(c)   to the depletion of mineral oil in the mining area in respect  of  the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assessment  year  relevant  to  the  previous  year  in   which   commercial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production is begun and  for  such  succeeding  year  or  years  as  may  be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specified in the agreement;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 xml:space="preserve">      and  such  allowances  shall  be  computed  and  made  in  the  manner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specified in the agreement, the other provisions of this  Act  being  deemed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for this purpose to have been modified to the extent     necessary  to  give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effect to the terms of the agreement: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 xml:space="preserve">      [(2) Where the business of the assessee consisting of the  prospecting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for or extraction or production of petroleum and natural gas is  transferred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wholly or partly  or  any  interest  in  such  business  is  transferred  in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accordance with the agreement referred to in  sub-section  (1),  subject  to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the provisions of the said agreement and where the proceeds of the  transfer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(so far as they consist of capital sums)—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 xml:space="preserve">      (a)  are less than the expenditure  incurred  remaining  unallowed,  a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deduction equal to such expenditure remaining unallowed, as reduced  by  the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proceeds of transfer, shall be allowed in respect of the  previous  year  in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which such business or interest, as the case may be, is transferred;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 xml:space="preserve"> (b)    exceed the amount of the expenditure incurred  remaining  unallowed,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so much of the  excess  as  does  not  exceed  the  difference  between  the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expenditure incurred in connection with the business or to  obtain  interest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therein and the amount of such expenditure  remaining  unallowed,  shall  be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chargeable to income-tax as  profits  and  gains  of  the  business  in  the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previous year in which the business or interest therein, whether  wholly  or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partly, had been transferred: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 xml:space="preserve">            Provided that in a case where the provisions of this  clause  do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not apply, the deduction to be allowed for  expenditure  incurred  remaining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unallowed shall be arrived at by subtracting the proceeds  of  transfer  (so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far as  they  consist  of  capital  sums)  from  the  expenditure  remaining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unallowed.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 xml:space="preserve">      Explanation.—Where the  business  or  interest  in  such  business  is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transferred in a previous year in which such  business  carried  on  by  the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assessee is no longer in existence, the  provisions  of  this  clause  shall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apply as if the business is in existence in that previous year;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(c) are not less than the  amount  of  the  expenditure  incurred  remaining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unallowed, no deduction for such expenditure shall be allowed in respect  of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the previous year in which the business or  interest  in  such  business  is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transferred or in respect of any subsequent year or years: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 xml:space="preserve">      [Provided that where in a scheme  of  amalgamation  or  demerger,  the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amalgamating or the  demerged  company  sells  or  otherwise  transfers  the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business to the amalgamated  or  the  resulting  company  (being  an  Indian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company), the provisions of this sub-section—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(i) shall not apply  in  the  case  of  the  amalgamating  or  the  demerged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company; and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(ii) shall, as far as may be, apply to  the  amalgamated  or  the  resulting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company as they would have applied  to  the  amalgamating  or  the  demerged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company if the latter had not transferred the business or  interest  in  the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business.]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 xml:space="preserve">            [Explanation.—For the purposes of this  section,  "mineral  oil"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includes petroleum and natural gas.]”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Meanwhile, the Income-Tax Officer, Ward I(3)  (hereinafter  referred  to  as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the “ITO Wd I (3)) issued a notice dated 09.06.2006 under  Section  143  (2)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of the Income Tax Act to the appellant for  the  Assessment  Year  2005-2006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and asked the appellant to justify its claim for the Section 42  deductions.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The ITO Wd I(3) also issued another notice to the  appellant  under  Section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142(1) of the Income-Tax Act, seeking various details and data  relevant  to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the said Assessment Year. The case was later transferred  to  the  Assistant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Director of Income-Tax (International  Taxation),  Ahmedabad  (“ADIT”).  The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ADIT also raised the question of applicability of the Section 42  deductions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to the two PSCs executed by the appellant for the reason that such a  clause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was not specifically included in these two PSCs.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A Joint Secretary of the  MoPNG  vide  his  communication  dated  11.04.2007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wrote to the MoF specifically admitting that in  11  PSCs,  a  reference  to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Section 42 deductions had been omitted by  oversight.  It  was  also  stated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that contracts signed in respect of other fields at the same time  contained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the provision for Section 42 deductions. It  was  specifically  stated  that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“Petroleum operations are a high risk business and it may not  be  equitable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and fair if  companies  are  not  allowed  to  claim  allowances  for  their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expenditure. Besides it would be difficult to  justify  different  standards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for  different  PSCs  signed  under  one  regime.”  (emphasis  supplied).  A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clarification was also sought from the MoF to the revenue  authorities  that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the Section 42  deductions  should  be  uniformly  granted  irrespective  of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whether the PSCs contained the relevant clause or not. It  is  pertinent  to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note that in this letter, the appellant was  listed by the MoPNG  as  having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the provision for Section 42  deductions  in  its  two  PSCs,  which  though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factually incorrect, again underscores the  bona  fide  belief  of  the  UOI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through the MoPNG that  the  appellant  had  been  granted  the  Section  42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deductions in respect of its two PSCs.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However, MoF did not issue any such clarification. In the absence of such  a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clarification from the Ministry of Finance, the ADIT disallowed  appellant's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claim for deduction under Section  42(1)(b)  and  Section  42(1)(c)  of  the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Income  Tax  Act,  made  in  the  appellant's  Income-Tax  Return  for   the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Assessment Year 2005-2006, on the ground that a specific  reference  to  the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Section  42  deduction  has  not  been  made3  expressly  in  the  two  PSCs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(hereinafter the “ADIT's Order”). As a result,  the  ADIT  issued  a  demand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notice under Section 156 of the Income Tax Act to the  appellant,  demanding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payment of Rs. 1,24,45,509.00 (rupees one  crore  twenty  four  lakhs  forty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five thousand five  hundred  and  nine  only)  by  way  of  additional  tax,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interest and penalty.  The appellant preferred an appeal against the  ADIT's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order before the relevant Commissioner of Income Tax (Appeals) in  Ahmedabad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and deposited the sum  of  Rs.40,00,000/-  (rupees  forty  lakhs  only),  as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required by ADIT, while himself staying  the  demand  raised  by  Assessment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Order.  This appeal has been dismissed by the  Commissioner  of  Income  Tax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(Appeals) and a  further  appeal  is  now  pending  before  the  Income  Tax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Appellate Tribunal.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In the meanwhile, on 24.12.2007, the appellant required the Union of  India,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through   the   MoPNG   and   the   MoF,    to    issue    an    appropriate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clarification/amendment with respect to  the  two  PSCs  executed  with  the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appellant, taking a stance that it was always the intention of the Union  of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India, at all stages, to give the benefits of Section 42 Deductions  of  the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Income Tax Act, read with Article 16 of the MPSC, to all  the  entities  who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had entered into PSCs with it, including the appellant with  the  plea  that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the non-inclusion of  this  provision  in  the  two  PSCs  signed  with  the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appellant was a clerical error/oversight.  This  was  followed  by  reminder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dated 19.3.2008 again requesting the Union of India, through the  MoPNG  and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the MoF, to issue an appropriate clarification/amendment with respect o  the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two PSCs executed with the appellant.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No such clarification came forward.  On the  other  hand,  the  ADIT  issued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notice dated 28.3.2008 to the appellant under Section 148 of the Income  Tax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Act for reopening the appellant's Income  Tax  Returns  for  the  Assessment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Years 2001-2002, 2002-2003, 2003-2004 and 2004-2005.  At this juncture,  the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Secretary, MoPNG, wrote communication dated 28.04.2008 to the  MoF  pointing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about the said accidental omissions again in the  contract.   The  MoF  was,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accordingly, requested to extend the benefits of Section  42  Deductions  to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the 13 PSCs (including the appellant's two PSCs)  in  line  with  all  other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signed PSCs.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As, in the meantime, the ADIT was going ahead with the proceedings  pursuant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to the  notice  under  Section  148  of  the  Act  deciding  to  reopen  the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assessment of the appellant in respect of assessment years 2001-02 to  2004-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05, the appellant sent one more representation dated 23.06.2008 on the  same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lines on which it had been making the similar  representations  earlier.  No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positive  response  was,  however,  received.  Exasperated,  the   appellant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approached the High Court by way of writ petition under Article 226  of  the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Constitution. Counter affidavits to the  writ  petition  was  filed  by  the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respondent  –  Authorities  taking  preliminary  objection   pertaining   to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territorial jurisdiction of the High Court of Delhi  and  also  raising  the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ground of alternate remedies available in the law  in  the  form  of  appeal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before  the  ITAT  which  had  already  been  preferred  by  the  appellant.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Rejoinder thereto was filed by the appellant.  Thereafter,  another  counter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affidavit on merits was filed by the  respondent  no.  1.  In  this  counter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affidavit, stand was taken by the respondents that MPSC would not  apply  to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appellant's  two  PSCs.  The  appellant  filed  rejoinder  to  this  counter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affidavit controverting  the  stand  which  was  taken  by  the  respondent.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Thereafter, the respondent filed  another  supplementary  affidavit  stating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that MoF had not concurred with  the  proposal  to  extend  the  benefit  of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deductions under Section 42 of the  Act  vide  MoF  O.M.  dated  11.11.2009.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Short affidavits were also filed by MoF as well as ADIT taking the  position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that the appellant was not entitled to benefit of Section  42  of  the  Act.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Rejoinder to these short affidavits was filed by  the  appellant.  Rejoinder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was also filed to the  supplementary  affidavit  which  has  been  filed  by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respondent no. 1.  The  appellant  also  filed  additional  affidavit  dated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28.02.2012 giving details of other small sized discovered oil  fields  PSCs,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who were awarded  contracts  under  1992  NIT,  submitting  that  they  were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identical to the appellant and in their  case  clause  was  inserted  giving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benefit under Section 42 of the Act. It was pleaded  that  since  they  were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identically situated as the appellant herein, denying such a benefit to  the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appellant amounted to hostile discrimination. By another affidavit filed  by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the appellant, it also tried  to  demonstrate  that  respondent  no.  1  had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accepted the calculation of petroleum profits on  the  assumption  that  the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deduction under Section 42 was available to  the  appellant;  otherwise  the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appellant would have enjoyed increased profits . It was, thus, sought to  be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demonstrated that even while profit sharing, shares were calculated  keeping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in view the deductions under Section 42 of the  Act  thereby  giving  better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and increased profit sharing to the Government as well.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The matter was ultimately heard by the High Court which  has  dismissed  the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writ petition by passing detailed judgment on 28.05.2012. Before we come  to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the  arguments  of  the  appellant  challenging  the  correctness  of   this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judgment, it may be appropriate to take note of  reasons   which  have  been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given by the High Court in support of the view it has taken.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IMPUGNED JUDGMENT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The High Court took  note  of  the  basic  and  primary  contention  of  the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appellant which was that there was a clear understanding between  the  MoPNG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and the appellant that in the contract to  be  signed  between  the  parties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benefits under Section 42 of the Act would be admissible. The NIT issued  by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the Government was based on this basic understanding but due to  inadvertent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oversight and error on the  part  of  the  MoPNG  the  contract,  which  was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ultimately signed, omitted to include such a clause. Therefore,  on  account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of mistake of the Ministry, which even it  admitted  in  its  communications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when the dispute regarding admissibility of deduction under  Section  42  of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the Act arose, the appellant should not be allowed to suffer. More so,  when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it was not responsible for the said error.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It may be pertinent to point out that the High  Court  did  not  accept  the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preliminary objections raised by the  respondent  and  after  repelling  the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same, it adverted to the subject matter  of  the  writ  petitions.   On  the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merits of the issue involved, the High  Court  formulated  two  questions  .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These are: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“(1)  Whether benefit under Section 42 of the Act was envisaged in the  1992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NIT and in the PSCs, but due to oversight  or  mistake,  the  same  was  not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included and mentioned in the  written  contract,  and  if  so,  the  effect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thereof?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(2)  If the question is decided in  favour  of  the  appellant,  the  second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aspect is whether a direction can be  issued  for  grant  of  benefit  under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Section 42 of the Act to the appellant, with a further  direction  that  the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contract should be laid before the Parliament after incorporating  the  said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clause?”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Dealing with the first  question,  High  Court  rejected  the  plea  of  the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appellant that 1992 NIT included and referred to the MPSC as  incorrect.  It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is pointed out that the 1992 NIT did not refer  to  the  MPSC  and  did  not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stipulate that MPSC shall form part of the tender documents. It  is  further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stated by the High Court that in 1992 NII, there was no  reference  to  MPSC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or that the terms and conditions of the MPSC shall be included in, or  be  a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part of, the PSCs. It is also observed that there is no document  or  clause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in the bid given by the appellant under the 1992 NIT to the effect that  the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MPSC or clause 16.2 of the same would be applicable and should be a part  of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the PSCs. In the tender submitted by the appellant  there  was  no  specific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stipulation to include any clause with regard to the benefit  under  Section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42 of the Act. The High Court has further observed  that  written  contracts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were signed between the appellant and MoPNG in  the  name  of  President  on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20.,02.1995.  Clause  15  of  these  contracts  which  pertain  to   “Taxes,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Royalties,  Rentals,  Customs  duties  etc.”  though  mentions   about   the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applicability of fiscal, there is no reference to Section 42 of the  Act  in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this Clause.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 xml:space="preserve">  The  High  Court  further  pointed  out  that  there  was  no  letter   or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correspondence written by the appellant from 1995 onwards stating that  non-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inclusion of Section 42 benefit was  due  to  oversight.  Insofar  as  three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letters written by the MoPNG, namely, letters dated  17-06-2005,  11-04-2007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and 28-04-2008 are concerned wherein this Ministry admitted that  there  was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an unintentional lapse and omission in not incorporating  the  provision  of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admissible deduction under Section  42  of  the  Act,  the  High  Court  has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brushed aside  these  communications  as  inter-ministerial  correspondence.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These letters were apparently written on the request  of  the  appellant  or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NIKO  Resources  Limited.  It  is  further  mentioned  that  these  are  not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contemporaneous letters written at the time when PSCs were signed.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The High Court has also  commented  that  though  in  these  letters  it  is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mentioned that Section 42 deductions were omitted  by  “oversight”  in  fact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there was no such oversight in as much as the MoPNG itself  in  its  counter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affidavit has specifically  stated  that  no  such  benefit  was  envisaged,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considered or granted  at  the  time  when  the  PSCs  were  negotiated  and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awarded. Averments made in this behalf in the  counter  affidavit  filed  by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the MoPNG are extensively quoted. To verify this position,  the  High  Court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also examined and went through the original files  relating  to  preparation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and finalisation of tender documents and  made  following  remarks  in  this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behalf.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“In order to verify and examine the correct factual position, we  had  asked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the respondent Ministry of Petroleum and oversight in as much as  the  MoPNG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itself in its  counter  affidavit  has  specifically  stated  that  no  such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benefit was envisaged, considered or granted at  the  time  Natural  Gas  to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produce the original files  relating  to  preparation  and  finalization  of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tender documents.  They were produced before us on 21st February, 2012.   We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examined  the  original  records  and  found  that  under  the   terms   and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conditions, as well as in the notes, no benefit under Section 42 of the  Act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was envisaged  or  was  required  to  be  granted.   We  also  recorded  the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statement of  the  learned  Additional  Solicitor  General  that  the  three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letters mentioned above were factually incorrect and,  therefore,  no  legal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right on the basis of the letters accrues/arises.   Thus,  no  statement  or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promise,  that  advantage  under  Section  42  would  be  available  to  the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successful bidder, was promised or made.”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 xml:space="preserve"> Insofar as plea of discrimination  between  13  PSCs  (which  included  the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appellant), who are not given the benefit of Section 42 of  the  Act  vis-a-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vis other PSCs where such a benefit has been extended, the  High  Court  has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accepted the explanation put forth by the respondents  to  the  effect  that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these 13 PSCs formed a different class in as much as their contract  was  in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respect  of  small  oil  fields  which  had  already  been  discovered  and,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therefore, the risk factor was less.  On the other hand, other PSCs were  in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respect of undiscovered  oil  fields  and  for  this  reason  benefit  under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Section 42 had been granted to them.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On the aforesaid reasoning, the High  Court  concluded  that  appellant  was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fully aware of Clause 16.2 of MPSC which  specifically  makes  reference  to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benefit under Section 42 of the Act, but did not advert to and refer to  the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same in their tender bid and did not ask for  this  benefit.  Therefore,  it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was not possible to accept the contention  of  the  appellant  that  benefit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under Section 42 of the Act was inadvertently missed out, or due to  an  act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of oversight, not included in the contract. On this finding, the High  Court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chose not to examine the second issue. Post by it in para 9 of the  impugned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judgment and noted by us above.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We would also like to mention that in the penultimate para, the  High  Court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has expressed its  displeasure  and  anguish  over  the  averments  made  by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respondent  no.  1  in  the  additional  affidavit  dated  23-03-2012  where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respondent no. 1 even denied  the  fact  that  petroleum  profits  were  not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shared  between  the  Government  and  the  appellant   after   making   the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calculations with reference to benefit under Section  42  of  the  Act.   In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letter dated 11.11.2009 written by the MoF, Department of Revenue this  fact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is specifically admitted and, therefore, respondent no. 1 should  have  been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careful in making such averments in  the  said  additional  affidavit  which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were contrary to the record, even if it was uncomfortable to respondent  no.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1.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Mr. Ganesh, learned senior counsel appearing  for  the  appellant  submitted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that the High Court had failed to appreciate and  cognise  the  basic  issue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which had arisen in the instant case about the admissibility of the  benefit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of Section 42 of the Act in respect  of  two  production  sharing  contracts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(PSCs) between the appellant and  the  Government.  He  submitted  that  the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claim for the benefit of the  aforesaid  provision  was  predicated  on  the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following grounds: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(a)  The Ministry of Petroleum &amp; Natural Gas (MoPNG) had  invited  bids  for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the said oilfields on the basis  of  a  Model  Production  Sharing  Contract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(MPSC) which specifically and unequivocally provided  that  the  benefit  of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Section 42 would be granted.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(b)   The appellant's bids for the  said  two  oilfields  were  clearly  and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indisputably submitted on  the  footing  that  the  MPSC  would  govern  the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contract between the parties.  In fact,  in  its  bid,  the  appellant  only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referred to those clauses of the MPSC  which  the  appellant  wanted  to  be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slightly modified, to which the Government  had  no  objection.   Thus,  the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appellant's bids were on the basis of the MPSC which  provided  the  benefit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of Section 42.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(c)   Respondent no. 1 itself admitted that the contract was  entered  into,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keeping  in  view  the  stipulations/terms  contained  in  the   MPSC   and,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therefore, MPSC had to be read into the contract.  It was also  argued  that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these facts were specifically confirmed by respondent no. 1  itself  in  its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three letters dated  17-06-2005, 11-04-2007 and 28-04-2008.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(d)    It was, thus, argued that as held in the case of  Godhra  Electricity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Co. Ltd. And Another v. State of Gujarat[1], it is the mutual  understanding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of the parties to a contract which  determines  the  construction  that  the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court will place on it and this principle squarely applied  in  the  present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case.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(e)   The accounts of the venture were drawn up  on  the  footing  that  the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deductions under Sect5ion 42  were  available  and  that,  accordingly,  the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Income Tax liability would stand reduced.  On this footing, a  significantly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higher amount was computed as the profit share payable to the Government  of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India under the PSC, which was received by the Government year after year.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(f)   The reference made by MoPNG to the Ministry of Law in June/ July  1992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and the written opinion given by the Ministry  of  Law  also  by  themselves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clearly established that the intention  of  the  Government  from  the  very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beginning was to grant the benefit of Section 42.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(g)   The I.T. Department itself granted the  deductions  under  Section  42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for several years right upto Assessment Year 2004-05 and then  suddenly  and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unaccountably changed its mind and turned a somersault.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(h)   The benefit of Section 42 was,  in  fact,  granted  to  several  other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small-sized discovered oilfields.  The appellant  had  filed  an  additional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affidavit dated 28.02.2012 giving particulars of at least  11  other  small-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sized discovered oilfields to which benefit of Section 42 was  given.   Even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though the contents of the affidavit  remained  untraversed,  the  same  has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been completely disregarded by the High Court.”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Relying on the aforesaid material on which Mr. Ganesh laid  great  emphasis,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his plea was that the High Court did not consider the aforesaid  aspects  in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its right perspective and arrived at a wrong finding that the appellant  did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not ask for the benefit of Section 42 of the Act.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He further submitted that strong reliance was placed by the  High  Court  on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the contents of a file which was produced by respondent no.  1  relating  to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the preparation of tender documents. However, this file  was  not  shown  to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the appellant or its  counsel  and  the  appellant  was,  thus,  denied  any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opportunity of dealing with the same. He pointed out that the appellant  had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specifically filed an application dated 28-02-2012 praying  that  the  Court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should not consider the contents of  the  said  file  or  alternatively  the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copies of the documents in the file  be  supplied  to  the  counsel  of  the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appellant. On this application, the Court had  made  observation  on  12.03-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2012 to the effect that  it was not going  to  place  any  reliance  on  the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contents of the  file  and  with  these  observations  the  application  was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dismissed. However, in the impugned judgment, the High Court has rested  its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conclusion on the basis of some contents in the file. He  further  submitted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that the Court should not have disregarded the  letters  of  the  respondent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no. 1 on the  ground  that  they  were  not  contemporaneous   letters.  His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submission was that right upto the year 2005, the benefit of Section 42  was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extended to the appellant and, therefore, there  was  no  occasion  for  the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appellant to approach respondent no. 1 to ask for such a clarification.   He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further submitted that reliance placed by the High Court  on  certain  paras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of the counter affidavit of respondent no. 1 was totally erroneous  as  such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a stand taken in the counter affidavit was contrary  to  the  letters  which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were addressed by the respondent no. 1 itself to the MoF  but  according  to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him, the manner in which the plea of discrimination was dealt  with  by  the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High Court was also erroneous  ignoring  the  specific  plea  taken  by  the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appellant in its additional affidavit dated  28-02-2012  giving  particulars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of a number of small-sized oil fields to which Section 42 benefit was  given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and the Government had not controverted those averments. He  submitted  that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apart from the plea, 13 oil fields (which included the appellant) all  other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oil fields, whether large, medium or small sized, and whether discovered  or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exploratory, were given the benefit of Section 42  of  the  Act.  Therefore,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the respondents had acted in a grossly arbitrary and discriminatory manner.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Last submission of Mr. Ganesh was that the issue regarding  Mandamus  to  be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issued to the respondents  for  amending  the  contract  and  including  the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clause for granting the benefit of Section 42 of the Act was not  even  gone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into, though, it was specifically argued. He  further  submitted  that  when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the other contracting parties,  namely,  MoPNG  specifically  admitted  that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this provision was left our inadvertently, the Court  should  have  given  a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direction  for  amendment  of  the  Contract.   In  order  to  support   his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submission that such a  direction  can  be  issued  by  the  High  Court  in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exercise of its powers under Article 226 of the  Constitution,  he  referred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to the following judgments: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 xml:space="preserve">      (i)   K.N. Guruswamy Vs. State of Mysore[2]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 xml:space="preserve">      (ii)  GSFC Vs. Lotus Hotels Ltd.[3]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 xml:space="preserve">      (iii) Kumari Shrilekha Vidyarthi Vs. State of U.P.[4]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 xml:space="preserve">      (iv)  ABL International Ltd. Vs. Export Credit Guarantee Corpn.[5]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Mr. Arijit Prasad, Advocate, who appeared for all the respondents  countered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the aforesaid submissions emphatically and  passionately.   He  argued  that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insofar as income tax department is concerned it could  extend  the  benefit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of deductions  admissible  under  Section  42  of  the  Act  only  when  the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assessee,  namely,  the  appellant  in  the  instant  case,  fulfilled   the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conditions  for  such  deductions  stipulated  in  that  Section.  For  this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purpose, the income tax authorities were supposed  to  look  into  the  PSCs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only and as far as the contracts between the Government  and  the  appellant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are concerned, admittedly there was no such stipulation therein.  Nor  these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contracts were placed before both the House of  Parliament.  Therefore,  the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order of the  Assessing  Authorities  in  tune  with  legal  provisions.  He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further submitted that in any case the appeal of the appellant  was  pending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before the ITAT and it was for the ITAT to go into the submissions  made  by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the appellants on the admissibility of deduction under  Section  42  of  the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Act.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In respect of the three letters which were written by the respondent no.  1,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his submission was that no reliance could have been placed on those  letters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and the matter had to be examined on the basis of  record.  The  High  Court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had, for this purpose, examined the original files on the basis of which  it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was clearly found that the averments made in  the  three  letters  ware  not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born out of records.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He also made detailed submissions to support the findings of the High  Court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that there was no inadvertent omission in failing to  make  any  stipulation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with regard to extending the benefits of Section 42 of the Act  and  on  the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contrary  insofar  as  the  appellant  and  12  other  similar  parties  are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concerned, there was a deliberate decision not to extend such a benefit.  He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also argued that in any case plea of discrimination could not  be  taken  in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the matters of contract in private law field.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Reacting  to  the  relief  of  mandamus  sought  by  the  appellant  seeking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directions against Respondent No. 1 to amend  the  contract,  his  plea  was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that such a prayer, in the realm of  contractual  relationship  between  the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parties, was inadmissible. He  pleaded  that  PSCs  are  in  the  nature  of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contract agreed to be between two independent contracting parties  and  each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of the PSCs are distinct from the other and is not a copy of MPSC.  He  also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pointed out that before signing the  PSC, the approval  of  the  Cabinet  is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obtained, which reflects that the PSCs as submitted to the Cabinet, has  the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approval of  one  of  the  contracting  party,  i.e.  Government  of  India.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Therefore, the appellant could not claim to be oblivious of  the  provisions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of law or the contents of the contract  at  the  time  of  signing  and  was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precluded from seeking retrospective amendment as a matter of right when  no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such right is conferred under the contract. In  support  of  his  submission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that the doctrine  of  fairness  and  reasonableness  applies  only  in  the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exercise of statutory or administrative actions of a State and  not  in  the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exercise of a contractual obligation and that  the  issues  arising  out  of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contractual  matters will have to be decided on the  basis  of  the  law  of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contract and not on the basis of the administrative  law,   he  referred  to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and relied upon the judgments  in  Pradeep  Kumar  Sharma  v.  U.P.  Finance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Corporation[6] and A.B.L. International Limited (supra).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From the reading of the writ petition filed in the High Court, the  impugned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judgment rendered by the High Court thereupon, and  also  having  regard  to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the arguments advanced before us which have already been taken note  of,  it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is apparent that the fulcrum of the issue, which has to be  focused  and  to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be answered, pertains to the benefit of  the  deductions  permissible  under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Section 42 of the Act. In fact, as is clear from the  prayers  made  by  the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appellant  in  the  writ  petition,  the  very  first  direction  which  the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appellant sought was to declare that  the  appellant  is  entitled  to  such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deductions in terms of the two PSCs  dated  20-02-1995.  Incidental  issues,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while deciding the aforesaid primary  issue,  which  arises  relate  to  the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construction of the terms of the said  PSCs  and  also  the  nature  of  the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contracts which the parties intended  to.   Another  issue  relates  to  the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jurisdiction of the High Court  under Article 226  of  the  Constitution  to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pass Mandamus for amending the PSCs. All these issues are formulated in  the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precise form hereunder: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(i)   Whether in  terms  of  the  provisions  contained  in  two  Production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Sharing Contracts (PSCs) dated 20-02-1995  executed  between  the  appellant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and the Central Government, appellant is entitled to the special  allowances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stipulated under Section 42 of the Act?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(ii)  Whether Model Production Sharing Contract (MPSC) can be read  as  part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of and incorporated in the PSCs?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(iii) Whether there was  any  intention  between  the  contracting  parties,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namely, the MoPNG and the appellant for giving benefit of  deductions  under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Section 42 of the Act?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(iv)  If so, whether non-inclusion of such a provision in the  contract  can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be treated as accidental and unintentional omission.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(v)   If the answer to question no. (iv)  is  in  the  affirmative,  whether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mandamus can be issued by the Court to the parties  to  amend  the  contract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and incorporate provisions to this effect?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We would now proceed to answer these questions seriatum.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Answer to question No. (i) – First and foremost aspect which has to be  kept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in mind while answering this issue is that the Income Tax Authorities  while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making assessment of income of any assessee have to apply the provisions  of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the Income Tax Act and make  assessment  accordingly.  Translating  this  as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general proposition contextually, what we  intend  to  convey  is  that  the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Assessing Officer is supposed to focus on Section  42  of  the  Act  on  the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basis of which he is to decide as to whether  deductions  mentioned  in  the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said provision  are  admissible  to  the  assessee  who  is  claiming  those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deductions. In other words, the Assessing Officer is supposed  to  find  out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as to whether the assessee fulfills the eligibility conditions in  the  said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provision to be entitled to such deductions.   We  have  already  reproduced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the  language  of  Section  42,  which  deals  with  special  provisions  of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deductions in the case of business for prospecting, etc.  for  mineral  oil.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Since, the appellant herein, in its income tax returns  for  the  assessment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year in question, i.e., Assessment Year 2005-06, had claimed the  deductions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mentioned in Section 42(1)(b) and (c) of the Act, we  should  take  note  of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the nature of these deductions. Section 42(1)(b) provides for deductions  of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expenditure incurred in respect of drilling  or  exploration  activities  or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services or in respect of physical assets used in  that  connection,  except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for those assets on which allowance for  depreciation  is  admissible  under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Section 32.   Section  42(1)(c)  speaks  of  allowances  pertaining  to  the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depletion of mineral oil in the mining area.  In order  to  be  eligible  to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the deductions, certain conditions  are  stipulated  in  this  very  section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which have to be satisfied by the assessees.  As is clear from  the  reading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of this Section, these conditions are as under: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(a)  it grants such special allowances  to  those  assessees  who  carry  on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business in association with the  Central  Government  or  with  any  person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authorized by it;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(b)  business should relate to  prospecting  for,  extracting  or  producing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mineral oils, petroleum or natural gas;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(c)  there has to be an agreement in writing between the Central  Government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and the assessees in this behalf;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(d)  it is also a requirement that such an agreement has been  laid  on  the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Table of each House of Parliament;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(e)  the allowances which are claimed are to  be  necessarily  specified  in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the agreement entered into between the two contracting parties; and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(f)  allowances are to be computed and made in the manner specified  in  the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agreement.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From the nature of allowances specified in this provision, it is clear  that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such allowances are otherwise inadmissible on general principles,  for  e.g.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allowances relating to diminution or exhaustion of  wasting  capital  assets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or allowances in respect of  expenditure  which  would  be  regarded  as  on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capital account on the ground that it brings an asset  of  enduring  benefit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into existence or constitutes initial expenditure  incurred  in  setting  up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the profit earning machinery in motion.  It is for this reason this  Section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itself clarifies that the provisions of this Act would  be  deemed  to  have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been modified to the extent necessary to give effect to  the  terms  of  the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agreement, as otherwise, the other provisions of the Act  specifically  deny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such deductions. A fortiorari, the PSC  entered  into  between  the  parties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becomes an independent accounting regime and  its  provisions  prevail  over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generally accepted principles of accounting that are used  for  ascertaining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taxable income (See – Commissioner of Income Tax, Dehradun &amp; Anr.  v.  Enron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Oil and Gas India Limited[7]).  Thus, by virtue of this Section, it  is  the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PSC which  governs  the  field  as  without  it,  such  deductions  are  not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permissible under the Act.  IF PSC also does  not  contain  any  stipulation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providing for such allowances, the Assessing  Officer  would  be  unable  to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give the benefit of these deductions to the assesee.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We would also like to point out, at this juncture itself,  that  this  Court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held in CIT v. Enron Expat Service Inc.[8]  that  the  mere  fact  that  the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assessee had offered to pay tax under Section 44 (BB) of the Act in some  of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the earlier years will not operate as an estoppel to claim  the  benefit  of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Double Taxation Avoidance Agreement  (DTAA),  where  the  assessee  operates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under the same PSC which was before the Court. While holding so,  the  Court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had followed its earlier judgment in the case of Enron  Oil  and  Gas  India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Limited (Supra).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In the present case, it is an admitted fact  that  conditions  mentioned  in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Section 42 of the Act are not fulfilled. In the two PSCs,  no  provision  is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made for making admissible the aforesaid allowances to the assessee.  It  is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obvious  that  the  Assessing  Officer  could   not   have   granted   these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allowances/deductions to the assessee in the absence of  such  stipulations,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a mandatory requirement, in the PSCs.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The appellant is conscious of this position.  It  is  for  this  reason  the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attempt of the appellant was  to  read  the  provisions  of  MPSC  into  the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agreement.  That bring us to the second issue.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Answer to question no. (ii) -  Endeavour of Mr. Ganesh, on this aspect,  was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to show that the bids were invited on the basis of terms stated in the  MPSC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which specifically mentioned about deductions under Section 42 of  the  Act.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He also endeavored to demonstrate that thee appellant had submitted its  bid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keeping  in view such  a  categorical  stipulation  in  the  MPSC.  He  also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pointed out that on MPSC, opinion of Law Ministry was  solicited  vide  Memo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dated 22-06-1992 and that the Ministry of Law gave its opinion dated  21-07-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1997 opining that benefit of both Sections 293(A) and Section 42 of the  Act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should be  extended  to  the  foreign  companies  in  order  to  make  their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participation in these oil fields viable.  As  per  the  appellant,  it  was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also made abundantly clear by the Ministry of Law that it  was  in  relation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to  “foreign  companies  to  be  engaged  in  exploration,  development  and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production of oil ion small sized oil and  gas  fields  under  the  proposed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Production Sharing Contract”, thus, drawing no  distinction  between  fields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to be explored  and  those  already  discovered  and  also  making  specific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reference to the MPSC. Taking sustenance  from  the  aforesaid  material,  a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passionate plea was made by Mr. Ganesh to read the provisions of Section  42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contained in MPSC, as opined by the Ministry of Law,  into  the  PSCs  which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were ultimately signed between the parties.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In order to appreciate this argument, we shall have to traverse through  the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PSCs dated 20-02-1995 which were ultimately signed  between  the  Government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and the appellant. We would like to mention here  that  when  this  argument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was being advanced by the learned  senior  counsel  for  the  appellant  the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Court asked him to produce the  copy  of  PSCs,  which  were  otherwise  not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brought on the record as the Court wanted to find out as  to  whether  there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was any such intention expressed in the agreement,  namely,  to  incorporate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the provisions of MPSC or the correspondence exchanged between  the  parties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earlier to the signing of this agreement. On our asking, the  appellant  has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placed on record the  copy of these PSCs. On  going  through  the  same,  we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find that intention expressed is just to the contrary.  It  is  rather  made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crystal clear in the agreement that this agreement is  the  sole  repository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of the terms on which it is signed and nothing else  would  be  looked  into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for this purpose.  It is so  reflected  in  the  following  clauses  in  the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agreement: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“(5)  The Government has  agreed  to  enter  into  this  Contract  with  the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Companies with respect to the area referred to in Appendices A &amp; B  of  this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Contract on the terms and conditions herein set forth.”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Article 1 – In this Contract, unless the  context  requires  otherwise,  the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following terms shall have the meaning ascribed to the then hereunder: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 xml:space="preserve">                            xxx         xxx  xxx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Article  1.18      ”Contract”  means  this  agreement  and  the   Appendices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mentioned herein and attached hereto and made an integral  part  hereof  and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any amendments made thereto pursuant to the terms hereof.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Article 32 -  ENTIRE AGREEMENT, AMENDMENTS,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 xml:space="preserve">                          WAIVER AND MISCELLANEOUS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32.1  This Contract  supersedes  and  replaces  any  previous  agreement  of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understanding between the Parties, whether oral or written, on  the  subject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matter hereof, prior to the Effective Date of this Contract.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32.2  This Contract shall not be amended, modified, varied  or  supplemented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in any respect except  by  an  instrument  in  writing  signed  by  all  the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Parties,  which  shall  state  the  date  upon  which   the   amendment   or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modification shall become effective.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32.3  No waiver by any Party of any one or more obligations or  defaults  by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any other Party in the performance of this  Contract  shall  operate  or  be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construed as a waiver of any other obligations  or  defaults  whether  of  a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like or of a different character.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32.4  The provisions of this Contract shall inure to the benefit of  and  be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binding upon the Parties and  their  permitted  assigns  and  successors  in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interest.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32.5  In the event of any conflict between any provisions in the  main  body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of this Contract and any provision in the Appendices, the provision  in  the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main body shall prevail.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32.6  The headings of this Contract are for convenience  of  reference  only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and shall not be taken into  account  in  interpreting  the  terms  of  this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Contract.”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Intention behind the aforesaid clauses is more than  apparent,  namely,  not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to look into any other document or correspondence which took  place  between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the parties prior to the signing of this agreement. Not only this, even  the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so-called “understanding” between the parties is to be ignored as  well.  It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is, therefore, impermissible for the appellant to take the aid  of  MPSC  or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the  clauses  contained  therein  while  construing  the  terms   of   PSCs.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Therefore, it was not even open to the Income Tax Authorities to  go  beyond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the stipulations contained in the PSCs while making the assessment  and  had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to exclusively remain within  the  provisions  of  the  Agreement.  On  that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touchstone, the Assessing Officer had no option but to deny the  benefit  of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deductions/allowances claimed by the appellant in  its  income  tax  returns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filed for the Assessment Year 2005-06. This bring us to the next question.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Answer to question no. (iii) -  We have  already  noted  that  Article  32.2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categorically provides that this Contract shall not  be  amended,  modified,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varied or supplemented in any respect except by  an  instrument  in  writing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signed by all the parties,  which  shall  state  the  date  upon  which  the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amendment or modification shall become effective. In  continuation  to  what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has been observed by us while answering point no.  (ii)  above,  it  becomes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apparent that the question of any intention  to  the  contrary  between  the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parties does not arise. It is because of the reason that Article 32  of  the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Agreement specifically supersedes  any  understanding  between  the  parties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prior to the effective date of this contract.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The matter is, however, compounded by certain acts of respondent no.  1  and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made complex to some extent by the Income Tax Authorities in giving  benefit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of these allowances/deductions under Section 42 of the Act to the  appellant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under these very PSCs in respect of earlier assessment years. Further,  this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very state of affairs continued for few  years  insofar  as  giving  such  a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benefit by the Income Tax  Authorities  is  concerned  it  may  not  pose  a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serious problem. We have already held above that on proper  construction  of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the provisions of Section 42 of the Act and application of these  provisions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to the instant case, the appellant was not entitled to any  such  deductions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under the PSCs. Thus, when in law no such deduction was permissible  as  per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the PSCs in the present form, even if such deduction was  given  wrongly  in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the earlier years that would not amount to a wrong act on the  part  of  the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Income Tax Authorities and, therefore, would not enure  to  the  benefit  of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the appellant in the Assessment Year in question  as  well.   The  appellant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cannot say that merely because this benefit  is  extended  in  the  previous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years; albeit wrongly, this wrong act should continue to  perpetuate.  There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is no estoppel against law. We have taken  note  of  the  judgment  of  this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Court in Enron Expat Service Inc. (Supra) where the assessee had offered  to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pay tax under Section 44(BB) of the Act in the  earlier  years  wrongly  and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the Court held that it would  not  operate  as  an  estoppel  to  claim  the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benefit of DTAA for the Assessment Year in question when it was  found  that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the assessee was otherwise entitled to it. Same  principle  applies,  though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it is a converse situation  where  assessee  has  not  offered  to  pay  tax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wrongly [which was the situation in Enron Expat Service  Inc.  (Supra)]  and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instead the tax  authorities  have  extended  the  benefit  wrongly  to  the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assessee.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With this, we come  to  more  crucial  aspect,  namely,  the  three  letters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written by the MoPNG in response to the appellant's  communications  seeking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its clarification.  Undoubtedly,  in  these  three  letters  the  MoPNG  has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accepted that intention between the parties  was  to  give  the  benefit  of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allowances under Section 42 of the Act to the appellant herein. So much  so,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the MoPNG even requested the MoF to give its nod for amending  the  contract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by  incorporating  such  a  provision   which   was   allegedly   left   out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inadvertently.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Our first remark is that the approach of the  High  Court  in  dealing  with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this aspect may not be entirely correct.  In  the  first  instance,  it  has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embarked upon the issue as to  whether  such  an  omission  was  by  way  of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“oversight” or it was unintentional. While undertaking this enquiry, it  has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side tracked the language of the three  letters  and  instead  gone  by  the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stand taken in the counter affidavit filed by respondent  no.  1  where,  in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para 4 of the counter affidavit, respondent no. 1 pleaded to  the  contrary.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Clearly, the said stand taken in the counter affidavit  filed  in  the  High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Court was contrary to the contents of the three  letters  dated  17.06.2005,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11.04.2007 and 28.04.2008. Significantly, respondent no. 1 neither  disowned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those letters nor tried to explain away those letters. No  plea  was  raised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to the effect that the person who wrote those letters was not authorized  to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do so or he had taken the said stand in the letters which  was  contrary  to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the records. No doubt, the High Court has observed that it had  looked  into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original  record  in  order  to  verify  and  examine  the  correct  factual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position. However, as demonstrated by Mr. Ganesh, on an application made  by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the appellant in the High Court for giving the copies of such  records,  the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High Court had observed that those records would not be seen nut  ultimately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relied upon these records. We do not know whether the High Court is  correct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in its conclusion as to whether  the  contents  of  the  three  letters  are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contrary to records and  the  averments  made  in  para  4  of  the  counter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affidavit are in conformity with the records, in as much  as  these  records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have not been produced for our perusal. However, on going through the  terms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of the PSCs it becomes apparent that such an exercise is not even  required.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It is stated at the cost of repetition  that  Article  32  of  the  contract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supersedes any understanding between  the  parties.  Thus,  even  if  it  is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presumed  that  there  was  an  understanding  between  the  parties  before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entering into an  agreement  to  the  effect  that  benefit  of  Section  42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deduction shall be extended to the appellant,  that  understanding  vanished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into thin air with the execution of the two PSCs. Now, for  all  intent  and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purpose, it is only the PSCs  signed  between  the  parties,  which  can  be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looked into. We answer this question accordingly.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Undoubtedly, the appellant is also conscious of such  a  limitation  and  is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aware of the fact that unless there is a clear stipulation in the  PSCs  for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grant of benefit of special allowances under  Section  42  of  the  Act,  it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would be difficult, nay impossible, for the appellant to  sail  through.  It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is for this reason Mr. Ganesh, learned  senior  counsel  for  the  appellant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made a  fervent  plea  that  respondents   be  directed  to  carry  out  the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amendment in the contract to include stipulation with regard to  Section  42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as well. That bring us to the next  question  about  the  permissibility  of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such a prayer.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Answer to question no.  (iv)  &amp;  (v)  –  These  issues  have  three  facets,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namely: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(i)   Whether there is a prayer to this effect in the writ petition?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(ii)  If it was intended to give such a benefit  before  entering  into  the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agreement, whether this intention gives any right to the appellant  to  seek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an amendment?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(iii) Whether the Court has the power to issue Mandamus or direction to  the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Government?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We have reproduced the prayers made in  the  writ  petition.  Obviously,  no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prayer for issuance of Writ of Mandamus  or  direction  of  this  nature  is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specifically made. Prayer clause shows that there are two  prayers  made  in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the writ petition. First relates  to  directing  the  Authorities  to  grant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benefit under Section 42 of the Act in terms of PSCs dated 22.02.1995,  i.e.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it is confined  within  the  scope  of  the  said  contracts.   Though,  the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appellant wants that  while  construing  these  contracts  MPSCs  and  other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several communications between the parties should be looked into  and  given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effect to. We have already  held  that  all  such  communications  would  be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extraneous and it is only the terms of PSCs dated 20.02.1995  which  can  be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looked into.  Second  prayer  aims  at  seeking  quashing  of  orders  dated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31.12.2007 and notices dated 28.03.2008 and  01.05.2008  vide  which  income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tax assessments for Assessment Years 2001-02, 2002-03, 2003-04; AND  2004-05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respectively are sought to be re-opened.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Mr. Ganesh, however, submitted that such a prayer should be culled out  from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prayer no. (iii) which is  residual  in  nature.  Ordinarily,  it  would  be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difficult to read into this prayer clause a relief of substantive nature  of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issuing the writ of mandamus.  However, we  find  that  there  are  specific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averments to this effect in the body of the writ petition as well as in  the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grounds.  More  pertinently this relief was specifically pressed and  argued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in the High Court which was even entertained by the High Court  without  any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objections from the respondent to the contrary.  Therefore, we are  inclined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to examine the plea on merits, though reluctantly.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Let us presume that there was such an intention. In fact, it  is  so  stated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in the three letters dated  17-06-2005, 11-04-2007 and 28-04-2008 which  are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written by MoPNG and not disowned by it. Still such an intention  would  not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make any difference and for this purpose we again revert back to Article  32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which has already  been  reproduced  above.  Not  only  prior  understanding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between the parties stood superseded as mentioned in Article  32.1,  Article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32.2  which  is  crucial  to  answer  this  question,  bars  any  amendment,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modification etc. to the said contract except by an  instrument  in  writing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signed by all the parties. Thus, unless respondents agree to  amend,  modify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or varied/supplemented the terms of the contract, no right  accrues  to  the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appellant in this behalf.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We have to keep in mind that the contract in question  is  governed  by  the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provisions of Article 299 of the Constitution. These  are  formal  contracts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made in the exercise of the Executive power of the Union (or of a State,  as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the case may be) and are  made  on  behalf  of  the  President  (or  by  the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Governor, as the case may be). Further, these contracts are to  be  made  by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such persons and in such a manner as  the  President  or  the  Governor  may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direct or authorize. Thus, when a particular contract is entered  into,  its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novation has to be on fulfillment of all procedural requirements. No  doubt,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there is an exception to this principle, viz.  even  in  the  absence  of  a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contract according to the requirements of Article 299 of  the  Constitution,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doctrine  of  promissory  estoppel  can  still  be   invoked   against   the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Government.  However, no such case is pleaded by the  appellant.  To  dilate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upon the aforesaid proposition further, we take along third  facet  of  this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issue as, to some extent, they are  over-lapping.  Fact  remains  that  even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when MoPNG requested MoF for giving consent to amend the contract,  no  such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authorisation came from MoF. Whether, in such a case, can the Court issue  a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Mandamus?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As noted above, the contention of the respondent is that  PSCs  are  in  the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nature of a contract agreed  to  between  the  two  independent  contracting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parties. It is also mentioned that before  the  signing  of  the  PSCs,  the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approval of Cabinet is obtained which reflects that the PSC as submitted  to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the Cabinet has the approval of one  of  the  contracting  parties,  namely,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Government of India in this case. When it is signed by the  other  party  it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means  that  it  has  the  approval  of  both  the  parties.  Therefore,   a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contracting party cannot claim to be oblivious of the provisions of the  law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or the contents of the contract at  the  time  of  signing  and,  therefore,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later on cannot seek retrospective amendment as a matter of  right  when  no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such right is conferred under the contract. Even the  doctrine  of  fairness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and  reasonableness  applies  only  in  the   exercise   of   statutory   or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administrative actions of the State and not in the exercise  of  contractual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obligation and issues arising out of contractual matters are to  be  decided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on the basis of law of contract and not on the basis of  the  administrative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law. No doubt, under certain situations, even in respect  of  contract  with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the State relief can be granted  under  Article  226.  We  would,  thus,  be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dealing with this aspect in some detail.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Law in this aspect has developed through catena of judgments of  this  Court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and from the reading of  these  judgments  it  would  follow  that  in  pure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contractual matters extraordinary  remedy  of  writ  under  Article  226  or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Article 32 of the Constitution cannot be  invoked.  However,  in  a  limited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sphere such remedies are available only when the non-Government  contracting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party is able to demonstrate that its a public law remedy which  such  party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seeks to invoke, in contradistinction to the private law remedy  simplicitor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under the contract. Some of  the  case  law  to  bring  home  this  cardinal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principle is taken note of hereinafter.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Significantly, in Andi Mukta Sadguru Shree  Muktajee  Vandas  Swami  Suvarna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Jayanti Mahotsav Smarak Trust &amp; Ors. v. R. Rudani &amp; Ors.[9]  as  well,  this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Court made it clear that if the rights are purely of private  character,  no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mandamus can be issued.  Thus, even if the respondent is  a  'State',  other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condition which has to be satisfied for issuance of a writ  of  mandamus  is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the public duty.  In a matter of private  character  or  purely  contractual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field, no such public duty element is involved and, thus, mandamus will  not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lie.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First case which needs to be referred is Bareilly Development Authority  Vs.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Ajai Pal Singh and others[10]. That was the case where  Appellate  Authority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had undertaken construction  of  dwelling  units  for  people  belonging  to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different income groups and  the  cost  at  which  such  flats  were  to  be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allotted to the allottees. However, it was mentioned that  the  cost  stated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was only estimated cost and subject to increase  or  decrease  according  to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rise or fall in the price  at  the  time  of  completion  of  property.  The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authority  increased  the  cost  and  monthly  installment  rates  which  it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demanded from the allottees were  almost  doubled  and  cost  and  rates  of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installments initially stated in the brochure.  Respondents/allottees  filed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writ  petition  challenging  the  same  and  in  this  context  question  of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maintainability of the writ petition arose. High  Court,  relying  upon  the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judgment of the Supreme Court in the  case  of  Ramana  Dayaram  Shetty  Vs.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Airport Authority of India[11] allowed the writ  petition  by  observing  as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under :-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"It has not been disputed that the contesting  opposite  party  is  included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within the  term  `other  authority'  mentioned  under  Article  12  of  the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constitution.  Therefore,  the  contesting  opposite   parties   cannot   be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permitted to act arbitrarily with the principle  which  meets  the  test  of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reason and relevance. Where an authority appears acting  unreasonably,  this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court is not powerless and a writ of mandamus can be issued  for  performing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its duty free from arbitrariness or unreasonableness.”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In appeal filed by the Authority, this  Court,  on  facts,  noted  that  the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respondents had applied for registration only by  acceptance  of  terms  and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conditions contained in the  brochure.  Moreover,  subsequently  letter  was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written  by  the  Authority  about  the  enhancement  of  the  cost  of  the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houses/flats as well as increase in monthly  installments.  Rate  of  yearly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interest requesting allottees to  give  their  written  acceptance  and  the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respondents except respondent No.4 had sent their written acceptance and  it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was on the basis of the written acceptance that  name  of  first  respondent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was included in the draw and he was successful in  getting  allotment  of  a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particular  house.  The  court  observed  that  respondents  were  under  no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obligation to seek allotment of house/ flats even  if  they  had  registered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themselves.  Notwithstanding,  the  voluntarily  registered  themselves   as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applicants only after fully understanding the terms and  conditions  of  the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brochure including relating to variance in prices. On  the  basis  of  these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facts, this Court observed that  the  aforesaid  observations  of  the  High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Court relying upon  Ramana  Dayaram  Shetty  case  were  not  correct.  Thus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observed the Court, speaking through Ratnavel Pandian. J.: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“The finding in our view, is not correct in  the  light  of  the  facts  and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circumstances of this case because in Ramana Daya Shetty case, there was  no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concluded contract as in this case. Even conceding  that  the  BDA  has  the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trappings of a state or would be comprehended in 'other authority'  for  the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purpose of Article 12 of the constitution, while determining  price  of  the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houses/flats constructed by it and the rate of monthly  installments  to  be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paid, the Authority or its agent after entering into the field  of  ordinary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contract acts purely in its executive  capacity.  Thereafter  the  relations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are no longer governed by the constitutional provisions but by  the  legally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valid contract which determines the rights and obligations  of  the  parties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inter se. In this sphere they can only claim rights conferred upon  them  by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the contract in the absence of any statutory obligations on the part of  the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authority (i.e. BDA in this case) in the said contractual field.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22.  There is a line of decisions where the contract  entered  into  between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the state and the persons aggrieved is non-statutory and purely  contractual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and the rights are governed only by the terms of the contract,  no  writ  or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order can be issued under Article 226 of the Constitution of India so as  to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compel the authorities to remedy  a  breach  of  contract  pure  and  simple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Radhakrishna Agarwal Vs. State of  Bihar  (Supra),  Premi  Bhai  Parmar  Vs.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Delhi Development Authority and DFO Vs. Biswanath Tea Company Ltd."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Next case of relevance is the Divisional Forest officer Vs.  Bishwanath  Tea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Co. Ltd.[12] In that case respondents took on lease certain  land  from  the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Government. Initially, period of lease was 15 years. The  lease  was  to  be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extended  for  cultivation  and  raising  tea  garden  and  was  subject  to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condition set out in the Lease Agreement  and  generally  to  Assam  Land  &amp;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Revenue Regulation and Rules made thereunder. Respondent Company  approached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appellant seeking permission to cut 7000 cub.ft. of timber.  Appellant  took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the stand that as the timber was required for a  particular  use  which  was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not within the Grant, full royalty will be payable  on  timber  so  cut  and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removed. Respondent company paid the amount of  royalty  under  protest  and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filed writ petition under Article 226 of the Constitution in the High  Court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alleging that upon a true construction of the relevant clauses of the  Grant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as also proviso to Rule 37 of the Settlement Rules, it was entitled  to  cut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and remove timber without payment of royalty and,  therefore,  the  recovery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of royalty being unsupported by law, the appellant was liable to refund  the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same.  A  preliminary  objection  was  taken  by  the   appellant   to   the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maintainability of the writ  petition  on  the  ground  that  claim  of  the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respondent flows from  terms  of  lease  and  such  contractual  rights  and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obligations can  only  he  enforced  in  a  civil  court.  This  preliminary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objection was overruled by the  High  Court  which  proceeded  to  hear  the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matter and allowed writ petition of the respondent  company.  In  appeal  by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the appellant to this Court, the decision of the  High  Court  was  reversed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holding that writ as not maintainable. Following observations  may  usefully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be quoted:-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"8.  It  is  undoubtedly  true  that  High  Court  can  entertain   in   its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extraordinary jurisdiction a petition to issue any of the prerogative  writs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for any other purpose. But such writ can be issued where there is  executive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action unsupported by law or even in  respect  of  corporation  there  is  a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denial of equality before law or equal protection of  law.  The  Corporation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can also file a writ petition for enforcement of a right  under  a  statute.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As pointed out earlier, the respondent company was merely trying to  enforce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a contractual obligation.  To  clear  the  ground  let  it  be  stated  that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obligation to  pay  royalty  for  timber  cut  and  felled  and  removed  is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prescribed by the relevant regulations, the validity of regulations  is  not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challenged. Therefore, the demand for royalty is supported by law. What  the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respondent claims is an exception that in view of  a  certain  term  in  the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indenture of lease, to writ, Clause 2, the  appellant  is  not  entitled  to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demand and  collect  royalty  from  the  respondent.  This  is  nothing  but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enforcement of a term of a contract of lease. Hence,  the  question  whether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such contractual obligation can be enforced by the High Court  in  its  writ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jurisdiction.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9.     Ordinarily, where a breach of contract  is  complained  of,  a  party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complaining  of  such  breach  may  sue  for  specific  performance  of  the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contract, if contract is capable of being  specifically  performed,  or  the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party may sue for damages. Such a suit would  ordinarily  be  cognizable  by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the Civil Court. The High Court  in  its  extraordinary  jurisdiction  would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entertain a petition either for specific  performance  of  contract  or  for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recovering damages. A right to relief flowing from  a  contract  has  to  be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claimed in a Civil Court where a suit for specific performance  of  contract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or for damages could be filed....".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The question  came  up  for  consideration  again  in  the  case  of  Kumari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Shrilekha Vidyarthi etc. etc. v. State  of  U.P.  and  others[13].  In  that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case, State of U.P. had  issued  Government  order  dated  6.2.1990  whereby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appointments of all Government Counsels (Civil, Criminal,  Revenue)  in  all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the Districts of  the  State  of  U.P.  were  terminated  w.e.f.  28.2.1990,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irrespective of the fact whether the term of the incumbents had  expired  or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was subsisting. Validity of this  G.D.  was  challenged  by  many  of  these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Government Counsels whose  appointments  were  terminated  and  one  of  the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issues to be determined by the court was as to  whether  writ  petition  was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maintainable challenging this G.D., as according  to  the  Respondent  State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the appointment of these Government Counsel was purely contractual and  writ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petition to enforce the contract was not maintainable.  After noticing  this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argument of the respondents, the Supreme Court formulated  the  question  to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be decided in the said case, in the following words: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“The learned Additional Advocate General did not dispute that if Art. 14  of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the Constitution of India is attracted to this case all State  actions,  the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impugned circular would be liable to be quashed if it suffers from the  vice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of arbitrariness. However, his argument is that there is no  such  vice.  In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the ultimate analysis, it  is  the  challenge  of  arbitrariness  which  the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circular must challenge of arbitrariness  withstand  in  order  to  survive.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This really is the main point evolved for decision  by  us  in  the  present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case".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The Court then examined the nature of appointment of the Government  counsel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in the Districts with reference to the various  legal  provisions  including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legal Remembrance Manual and Section 24 Code of Criminal procedure  as  well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as decision  of  Supreme  Court  in  which  character  of  engagement  of  a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Government counsel was considered.  After  analyzing  these  provisions  and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case law, the Supreme Court concluded in the  following  manner,  describing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the nature of appointment of District Government counsel: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“17.  We are, therefore, unable to accept the  argument  of  the  Ld.  Addl.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Advocate General that the appointment of District Government Counsel by  the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State Government is only a  professional  engagement  like  that  between  a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private client and his lawyer, or that it  is  purely  contractual  with  no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public element attaching to it, which may be terminated at any time  at  the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sweet will of the Government excluding  judicial  review.  We  have  already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indicated the presence of public element attached to the  'office'  or  post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of District Government Counsel of every category  covered  by  the  impugned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circular. This is sufficient to attract Article 14 of the  Constitution  and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bring the question of validity of the impugned circular within the scope  of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judicial review.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18. The scope of judicial review permissible in the present case,  does  not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require any elaborate consideration since even the minimum  permitted  scope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of judicial review on the ground of  arbitrariness  or  unreasonableness  or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irrationality, once Art. 14 is attracted, is sufficient  to  invalidate  the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impugned circular as indicated  later.  We  need  not,  Therefore,  deal  at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length with the scope of judicial review permissible  in  such  cases  since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several nuances of that ticklish question do not arise for consideration  in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the present case.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19. Even otherwise and sans the element so obvious in these appointment  and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its concomitants viewed as purely contractual matters after the  appointment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is made, also attract Art. 14 and exclude arbitrariness permitting  judicial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review of the impugned state action. This aspect is dealt with hereafter.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20. Even apart from the premises that 'office' or  post  of  D.G.Cs.  has  a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public element which alone is sufficient to attract the  power  of  judicial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review for testing validity of the impugned circular on the  anvil  of  Art.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14, we are also clearly of the  view  that  this  power  is  available  even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without that element on the premise  that  after  initial  appointment,  the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matter is purely contractual. Applicability of  Art.  14  to  all  executive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actions  of  the  State  being  settled  and  for  the   same   reason   its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applicability at the threshold to the making of a contract  in  exercise  of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the executive power being beyond dispute, can it be said that the State  can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thereafter cast off its personality and exercise unbridled power  unfettered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by the requirements of Art. 14 in the  sphere  of  contractual  matters  and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claim to be governed therein only by private law, principles  applicable  to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private individuals whose rights flow only from the terms  of  the  contract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without  anything  more  ?  We  have  no  hesitation  in  saying  that   the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personality of the  State,  requiring  regulation  of  its  conduct  in  all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spheres by requirements of Art. 14 does not undergo such  a  radical  change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after the making of a  contract  merely,  because  some  contractual  rights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accrue to the other party in addition. It is not as if the  requirements  of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Art. 14 and contractual obligations are alien  concepts,  which  cannot  co-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exist.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21. The preamble of the Constitution of India resolves to secure to all  its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citizens Justice, social economic and political: and Equality of status  and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opportunity. Every State action must be aimed at achieving this  goal.  Part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IV of the Constitution  contains  'Directive  principles  of  State  Policy'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which are fundamental in the governance of the  country  and  are  aimed  at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securing social and economic freedoms by appropriate State action  which  is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complementary to individual fundamental rights guaranteed in  part  III  for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protection against excesses of State action, to realise the  vision  in  the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preamble. This being the philosophy of the  constitution,  can  it  be  said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that it contemplates exclusion of Art. 14 non arbitrariness which  is  basic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to rule of law from State actions is contractual field when all  actions  of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the State are meant fore public good and expected to be fair and just  ?  we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have no doubt that the Constitution does not envisage or  permit  unfairness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or unreasonableness in State actions in any sphere of its activity  contrary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to the professed ideals in the preamble. In our opinion, it would  be  alien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to the Constitutional scheme to accept the argument of exclusion of Art.  14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in contractual matters.  The  scope  and  permissible  grounds  of  judicial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review in such matters and the relief which may be available  are  different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matters but that does not justify the view of its total exclusion.  This  is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more so when the modern t rend is also to examine the unreasonableness of  a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term in such contractual where the  bargaining  power  is  unequal  so  that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these are not negotiated  contracts  but  standard  from  contracts  between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unequal.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22. There is an obvious difference in the contracts between private  parties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and contracts to which the State is a party. Private parties  are  concerned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only with their personal interest whereas the  State  while  exercising  its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powers and discharging its functions, acts indubitably, as  is  expected  of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it for public good and in public interest. The impact of every State  action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is also on public interest. This factor alone is  sufficient  to  import  at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least the minimum requirements of public law obligations  and  impress  with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this character the contracts made by the State or  its  instrumentality.  It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is a different mater that  the  scope  of  judicial  review  in  respect  of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disputes scope of judicial review in respect of disputes falling within  the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domain of contractual obligations may be more limited and in doubtful  cases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the parties may be relegated to adjudication of their rights  by  resort  to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remedies provided for adjudication of purely contractual disputes.  However,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to the extent, challenge is made on the ground of violation of  Art.  14  by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alleging that the impugned act is arbitrary,  unfair  or  unreasonable,  the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fact  that  the  dispute  also  falls  within  the  domain  of   contractual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obligations would not relieve the State of its  obligation  to  comply  with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the basic requirements of Art. 14. To this extent, the obligation  is  of  a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public character invariably in every case irrespective of  there  being  any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other right or obligation in addition  thereto.  An  additional  contractual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obligation cannot divest the claimant of the guarantee under Art. 14 of non-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arbitrariness at the hands of the State in any of its actions.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 xml:space="preserve">                                  xx xx xx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34. In our opinion, the wide sweep of Art. 14 undoubtedly takes  within  its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fold the impugned circular issued by the State of U.P. in  exercise  of  its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executive power, irrespective of the precise nature of  appointment  of  the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Government counsel in the districts and the  other  rights,  contractual  or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statutory, which the appointees may have. It is  for  this  reason  that  we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base our decision on the ground that independent  of  any  statutory  right,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available to the appointments, and assuming for the  purpose  of  this  case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that the rights flow only from the contract  of  appointment,  the  impugned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circular, issued in exercise of the  executive  power  of  the  State,  must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satisfy Art. 14 of the Constitution and if it is shown to be  arbitrary,  it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must be struck  down.  However,  we  have  referred  to  certain  provisions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relating to  initial  appointment,  termination  or  renewal  of  tenure  to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indicate that the action is  controlled  at  least  by  settled  guidelines,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followed by the State of U.P. for a long time.  This  too  is  relevant  for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deciding the question of arbitrariness alleged in the present case"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Similarly, in State of Gujarat  v.  M.P.  Shah  Charitable  Trust[14],  this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Court reiterated the  principles  that  if  the  matter  is  governed  by  a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contract, the writ petition is not maintainable since it  is  a  public  law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remedy and is not available in private law field,  for  example,  where  the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matter is governed by a non-statutory contract.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At this stage, we would like to discuss  at  length  the  judgment  of  this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Court in ABL International Ltd. (supra), on which strong reliance is  placed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upon by the counsel for both the parties.  In  that  case,  various  earlier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judgments right from the year 1954 were taken note  of.  One  such  judgment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which the Department in support of  their  case  had  referred  to  was  the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decision of Apex Court in case LIC of India v. Escorts Ltd.[15] wherein  the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Court  had  held  that  ordinarily  in  matter   relating   to   contractual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obligations, the Court would not examine  it  unless  the  action  has  some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public law character attached to it. The following  passage  from  the  said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judgment was relied upon by the respondents: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“If the action of  the  State  is  related  to  contractual  obligations  or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obligations arising out of the tort, the court may  not  ordinarily  examine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it unless the action has some public law character attached to  it.  Broadly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speaking, the court will examine actions of State if  they  pertain  to  the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public law domain and refrain from examining them if  they  pertain  to  the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private law field. The difficulty  will  lie  in  demarcating  the  frontier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between the public law domain and the private law field.  It  is  impossible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to draw the line with precision and we  do  not  want  to  attempt  it.  The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question must be decided in each  case  with  reference  to  the  particular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action, the activity in which the State or the instrumentality of the  State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is engaged when performing  the  action,  the  public  law  or  private  law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character of the action and a host of  other  relevant  circumstances.  When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the State or an instrumentality of the State  ventures  into  the  corporate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world and purchases the shares of  a  company,  it  assumes  to  itself  the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ordinary role of a shareholder, and dons the robes of  a  shareholder,  with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all the rights available to such a shareholder. There is no reason  why  the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State as a shareholder should be expected  to  state  its  reasons  when  it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seeks to change the management, by a resolution of  the  company,  like  any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other shareholder."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 xml:space="preserve">      This Court dealt with this judgment in the following manner: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“We do not think Court in the above case has, in any manner,  departed  from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the view expressed in the earlier judgments in the case  cited  hereinabove.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This Court in the case  of  Life  Insurance  Corporation  of  India  (Supra)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proceeded on the facts of that case and held that a relief by way of a  writ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petition may not ordinarily be an appropriate  remedy.  This  judgment  does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not lay down that as a rule in matters of contract the court's  jurisdiction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under Article 226 of the Constitution is ousted. On the  contrary,  the  use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of the words "court may not ordinarily examine  it  unless  the  action  has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some public law character attached to it" itself indicates that in  a  given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case, on the existence  of  the  required  factual  matrix  a  remedy  under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Article 226 of the Constitution will be available."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Insofar as the argument of the  respondents  in  the  said  case  that  writ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petition on contractual matter was not maintainable unless it is shown  that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the authority performs a public function or discharges  a  public  duty,  is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concerned, it was answered in the following manner: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“22.  We do not think the above judgment  in  VST  Industries  Ltd.  (supra)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supports  the  argument  of  the  learned  counsel  on   the   question   of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maintainability of the present writ petition. It is to  be  noted  that  VST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Industries Ltd. against whom the writ petition was filed was not a State  or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an instrumentality of a State  as  contemplated  under  Article  12  of  the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Constitution, hence, in the normal course, no writ could  have  been  issued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against the said industry. But it was the contention of the writ  petitioner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in that case that the  said  industry  was  obligated  under  the  concerned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statute to perform certain public functions, failure to  do  so  would  give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rise to a  complaint  under  Article  226  against  a  private  body.  While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considering such argument, this Court held that when  an  authority  has  to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perform a public function or a public duty if there  is  a  failure  a  writ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petition under Article 226 of  the  Constitution  is  maintainable.  In  the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instant case, as to the fact that the respondent is an instrumentality of  a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State, there is no  dispute  but  the  question  is:  was  first  respondent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discharging a public duty or a public function while repudiating  the  claim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of the appellants arising out of a contract ? Answer to  this  question,  in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our opinion, is found in the judgment of this Court in the  case  of  Kumari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Shri Lekha Vidyarthi &amp; Ors. vs. State of U.P.&amp;  Ors.  [1991]  (1)  SCC  212]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wherein this Court held: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“The impact of every State action is also on public interest. It  is  really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the nature of its  personality  as  State  which  is  significant  and  must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characterize all its actions, in whatever  field,  and  not  the  nature  of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function, contractual or otherwise  which  is  decisive  of  the  nature  of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scrutiny permitted for examining the validity of its  act.  The  requirement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of Article 14 being the duty to act fairly, justly and reasonably, there  is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nothing which militates against the concept of requiring  the  State  always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to so act, even in contractual matters."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23.  It is clear from the above observations of this Court,  once  State  or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an instrumentality  of  State  is  a  party  to  the  contract,  it  has  an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obligation in law  to  act  fairly,  justly  and  reasonably  which  is  the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requirement of Article 14 of the Constitution of  India.  Therefore,  if  by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the  impugned  repudiation  of  the  claim  of  the  appellants  the   first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respondent as an instrumentality of the State has acted in contravention  of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the above said requirement of Article 14 then we have no hesitation  that  a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writ court can issue suitable directions to set right the arbitrary  actions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of the first respondent."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The Court thereafter summarized the legal position in the following manner: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“27.  From the above discussion of ours, following legal  principles  emerge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as to the maintainability of a writ petition :-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(a) In an appropriate case, a  writ  petition  as  against  a  State  or  an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instrumentality of a State  arising  out  of  a  contractual  obligation  is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maintainable.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(b)  Merely  because  some   disputed   questions   of   facts   arise   for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consideration, same cannot be  a  ground  to  refuse  to  entertain  a  writ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petition in all cases as a matter of rule.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(c) A writ petition involving a consequential relief of  monetary  claim  is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also maintainable.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28. However, while entertaining an objection as to the maintainability of  a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writ petition under Article 226 of the  Constitution  of  India,  the  court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should bear in mind the fact that  the  power  to  issue  prerogative  writs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under Article 226 of the Constitution  is  plenary  in  nature  and  is  not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limited by any other provisions of the Constitution. The High  Court  having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regard to the facts of the case, has a discretion to  entertain  or  not  to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entertain a writ  petition.  The  Court  has  imposed  upon  itself  certain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restrictions in the exercise of this power [See: Whirlpool  Corporation  vs.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Registrar of Trade Marks, Mumbai &amp; Ors. [1998 (8) SCC 1]. And  this  plenary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right of the High Court to issue a prerogative writ  will  not  normally  be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exercised by the Court to the exclusion of other available  remedies  unless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such  action  of  the  State  or  its  instrumentality  is   arbitrary   and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unreasonable so as to violate the constitutional mandate of  Article  14  or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for other valid and legitimate  reasons,  for  which  the  court  thinks  it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necessary to exercise the said jurisdiction."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The  position  thus  summarized  in  the  aforesaid  principles  has  to  be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understood in the context of discussion that preceded which we have  pointed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out above. As  per  this,  no  doubt,  there  is  no  absolute  bar  to  the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maintainability of the writ petition even in contractual  matters  or  where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there are disputed questions of fact or even when monetary claim is  raised.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At the same time, discretion lies with the High Court  which  under  certain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circumstances, can refuse to  exercise.  It  also  follows  that  under  the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following circumstances, 'normally', the Court would  not  exercise  such  a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discretion: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(a) the Court may not examine the issue unless the action  has  some  public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law character attached to it.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(b) Whenever a particular mode of settlement of dispute is provided  in  the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contract, the High Court would  refuse  to  exercise  its  discretion  under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Article 226 of the Constitution and relegate the party to the said  made  of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settlement, particularly when settlement of disputes is to  be  resorted  to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through the means of arbitration.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(c) If there are very serious  disputed  questions  of  fact  which  are  of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complex nature and require oral evidence for their determination.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(d) Money claims per se particularly arising out of contractual  obligations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are normally not to be entertained except in exceptional circumstances.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Further legal position which emerges from various judgments  of  this  Court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dealing with different situations/aspects relating to the contracts  entered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into by the State/public Authority with private parties, can  be  summarized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as under: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(i)   At the stage of entering into a contract, the  State  acts  purely  in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its executive capacity and is bound by the obligations of fairness.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(ii)  State in its executive capacity, even in  the  contractual  field,  is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under obligation to act fairly and cannot practice some discriminations.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(iii) Even in  cases  where  question  is  of  choice  or  consideration  of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competing claims before entering into the field of contract, facts  have  to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be investigated and found before the question of a violation of  Article  14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could arise. If those facts are disputed and require assessment of  evidence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the correctness of  which  can  only  be  tested  satisfactorily  by  taking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detailed  evidence,  Involving  examination  and   cross-   examination   of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witnesses, the case could not be conveniently or satisfactorily  decided  in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proceedings under Article 226 of the Constitution. In such cases  court  can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direct the aggrieved party to resort to alternate remedy of civil suit etc.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(iv) Writ jurisdiction of High Court under Article 226 was not  intended  to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facilitate avoidance of obligation voluntarily incurred.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(v) Writ petition was not  maintainable  to  avoid  contractual  obligation.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Occurrence  of  commercial  difficulty,   inconvenience   or   hardship   in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performance of the conditions agreed to  in  the  contract  can  provide  no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justification in not complying with the terms of contract which the  parties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had accepted with open eyes. It cannot ever be that a licensee can work  out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the license if he finds it profitable to do so: and  he  can  challenge  the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conditions under which he agreed  to  take  the  license,  if  he  finds  it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commercially inexpedient to conduct his business.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(vi) Ordinarily, where a breach of contract  is  complained  of,  the  party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complaining  of  such  breach  may  sue  for  specific  performance  of  the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contract,  if  contract  is  capable  of   being   specifically   performed.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Otherwise, the party may sue for damages.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(vii) Writ can be issued where there is executive action unsupported by  law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or even in respect of a corporation there is denial of equality  before  law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or equal protection of law or if can be shown  that  action  of  the  public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authorities was without giving any hearing and violation  of  principles  of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natural justice after holding that action could not have been taken  without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observing principles of natural justice.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(viii) If the contract between private party and  the  State/instrumentality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and/or agency of State is under the realm of a private law and there  is  no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element of public law, the normal course for  the  aggrieved  party,  is  to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invoke  the  remedies  provided  under  ordinary  civil  law   rather   than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approaching the High Court under Article 226 of the Constitutional of  India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and invoking its extraordinary jurisdiction.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(ix) The distinction between public law  and  private  law  element  in  the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contract with State is getting blurred. However, it  has  not  been  totally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obliterated and where the matter falls purely in private field of  contract.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This  Court  has  maintained  the  position  that  writ  petition   is   not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maintainable. Dichotomy between public  law  and  private  law,  rights  and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remedies  would  depend  on  the  factual  matrix  of  each  case  and   the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distinction between public law remedies and private  law,  field  cannot  be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demarcated with precision. In fact, each case has to  be  examined,  on  its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facts whether the contractual relations between the  parties  bear  insignia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of public element. Once on the facts of a particular case it is  found  that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nature of the activity or controversy involves public law element, then  the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matter can be examined by the High Court in  writ  petitions  under  Article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226 of the Constitution of India to see whether action of the  State  and/or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instrumentality or agency of the State is fair, just and equitable  or  that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relevant factors are taken into consideration and  irrelevant  factors  have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not gone into the decision making  process  or  that  the  decision  is  not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arbitrary.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(x) Mere reasonable or legitimate  expectation  of  a  citizen,  in  such  a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situation, may not by itself be a distinct enforceable  right,  but  failure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to consider and give due weight to it may  render  the  decision  arbitrary,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and this is how the  requirements  of  due  consideration  of  a  legitimate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expectation forms part of the principle of non-arbitrariness.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(xi) The scope of judicial review in respect of disputes falling within  the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domain of contractual obligations may be more limited and in doubtful  cases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the parties may be relegated to adjudication of their rights  by  resort  to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remedies provided for adjudication of purely contractual disputes.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Keeping  in  mind  the  aforesaid  principles  and  after  considering   the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arguments of respective parties, we are of the view that  on  the  facts  of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the present case, it is not a fit case where  the  High  Court  should  have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exercised discretionary jurisdiction under Article 226 of the  Constitution.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First, the matter is in the realm of pure contract. It is not a  case  where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any statutory contract is awarded.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As pointed out earlier as well, the contract in question  was  signed  after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the approval of Cabinet was obtained. In the said  contract,  there  was  no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clause pertaining to Section 42 of the Act. The  appellant  is  presumed  to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have knowledge of the legal provision, namely, in  the  absence  of  such  a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clause, special allowances under Section 42 would  impermissible.  Still  it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signed the contract without such a clause, with open  eyes.  No  doubt,  the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appellant claimed these deductions in its income  tax  returns  and  it  was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even allowed these deductions by the Income  Tax  Authorities.  Further,  no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doubt, on this  premise, it shared the profits with the Government as  well.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However, this conduct  of  the  appellant  or   even  the  respondents,  was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outside the scope of the contract and that by itself may not give any  right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to the appellant to claim a relief in the nature of Mandamus to  direct  the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Government to incorporate such a clause in the contract, in the face of  the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specific provisions  in  the  contract  to  the  contrary  as  noted  above,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particularly, Article 32 thereof. It was purely a  contractual  matter  with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no element of public law involved thereunder.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Having considered the matter in the aforesaid prospective, we  come  to  the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irresistible conclusion that the appellant is not  entitled  to  the  relief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claimed. Though it may be somewhat harsh on the appellant  when  it  availed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the benefit of Section 42 for few years and acted on the understanding  that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such a benefit would be given to it, but we have no option but to hold  that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PSCs did not provide for this benefit to be given to the appellant  and  the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contract can be amended only if both the parties agree to  do  so,  and  not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otherwise. Therefore, we are constrained  to  dismiss  the  appeal  for  the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reasons given above.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 xml:space="preserve">                 There shall, however, be no orders as to costs.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 xml:space="preserve">                             .............................................J.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  (A.K. SIKRI)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 xml:space="preserve">                             .............................................J.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(ROHINTON FALI NARIMAN)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NEW DELHI;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MAY 14, 2015.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-----------------------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[1]   (1975) 1 SCC 199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[2]   1955 (1) SCR 305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[3]   (1983) 3 SCC 379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[4]   (1991) 1 SCC 212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[5]   (2004) 3 SCC 553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[6]   (2012) 100 SCC 424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[7]   (2008) 15 SCC 33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[8]   (2010) 327 ITR 626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[9]   (1989) 2 SCC 691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[10]     [1989] 1 SCR 743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[11]  (1979) IILLJ 217 SC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[12]  [1981] 3 SCR 662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[13]  AIR 1991 SC 537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[14]  (194) 3 SCC 552</w:t>
      </w:r>
    </w:p>
    <w:p w:rsidR="003E137C" w:rsidRPr="003E137C" w:rsidRDefault="003E137C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3E137C">
        <w:rPr>
          <w:rFonts w:ascii="Times New Roman" w:hAnsi="Times New Roman" w:cs="Times New Roman"/>
          <w:sz w:val="25"/>
          <w:szCs w:val="25"/>
        </w:rPr>
        <w:t>[15]  (1986) 1 SCC 264</w:t>
      </w:r>
    </w:p>
    <w:p w:rsidR="009E65D7" w:rsidRPr="003E137C" w:rsidRDefault="009E65D7" w:rsidP="003E137C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sectPr w:rsidR="009E65D7" w:rsidRPr="003E137C" w:rsidSect="003E57BE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7107" w:rsidRDefault="00AE7107" w:rsidP="00607A95">
      <w:pPr>
        <w:spacing w:after="0" w:line="240" w:lineRule="auto"/>
      </w:pPr>
      <w:r>
        <w:separator/>
      </w:r>
    </w:p>
  </w:endnote>
  <w:endnote w:type="continuationSeparator" w:id="1">
    <w:p w:rsidR="00AE7107" w:rsidRDefault="00AE7107" w:rsidP="00607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1759739"/>
      <w:docPartObj>
        <w:docPartGallery w:val="Page Numbers (Bottom of Page)"/>
        <w:docPartUnique/>
      </w:docPartObj>
    </w:sdtPr>
    <w:sdtContent>
      <w:p w:rsidR="00607A95" w:rsidRPr="00607A95" w:rsidRDefault="00607A95">
        <w:pPr>
          <w:pStyle w:val="Footer"/>
          <w:jc w:val="center"/>
          <w:rPr>
            <w:rFonts w:ascii="Times New Roman" w:hAnsi="Times New Roman" w:cs="Times New Roman"/>
          </w:rPr>
        </w:pPr>
        <w:r w:rsidRPr="00607A95">
          <w:rPr>
            <w:rFonts w:ascii="Times New Roman" w:hAnsi="Times New Roman" w:cs="Times New Roman"/>
          </w:rPr>
          <w:t xml:space="preserve">                                   </w:t>
        </w:r>
        <w:r>
          <w:rPr>
            <w:rFonts w:ascii="Times New Roman" w:hAnsi="Times New Roman" w:cs="Times New Roman"/>
          </w:rPr>
          <w:t xml:space="preserve">                      </w:t>
        </w:r>
        <w:r w:rsidRPr="00607A95">
          <w:rPr>
            <w:rFonts w:ascii="Times New Roman" w:hAnsi="Times New Roman" w:cs="Times New Roman"/>
          </w:rPr>
          <w:t xml:space="preserve">           </w:t>
        </w:r>
        <w:r w:rsidRPr="00607A95">
          <w:rPr>
            <w:rFonts w:ascii="Times New Roman" w:hAnsi="Times New Roman" w:cs="Times New Roman"/>
          </w:rPr>
          <w:fldChar w:fldCharType="begin"/>
        </w:r>
        <w:r w:rsidRPr="00607A95">
          <w:rPr>
            <w:rFonts w:ascii="Times New Roman" w:hAnsi="Times New Roman" w:cs="Times New Roman"/>
          </w:rPr>
          <w:instrText xml:space="preserve"> PAGE   \* MERGEFORMAT </w:instrText>
        </w:r>
        <w:r w:rsidRPr="00607A95">
          <w:rPr>
            <w:rFonts w:ascii="Times New Roman" w:hAnsi="Times New Roman" w:cs="Times New Roman"/>
          </w:rPr>
          <w:fldChar w:fldCharType="separate"/>
        </w:r>
        <w:r w:rsidR="00AE7107">
          <w:rPr>
            <w:rFonts w:ascii="Times New Roman" w:hAnsi="Times New Roman" w:cs="Times New Roman"/>
            <w:noProof/>
          </w:rPr>
          <w:t>1</w:t>
        </w:r>
        <w:r w:rsidRPr="00607A95">
          <w:rPr>
            <w:rFonts w:ascii="Times New Roman" w:hAnsi="Times New Roman" w:cs="Times New Roman"/>
          </w:rPr>
          <w:fldChar w:fldCharType="end"/>
        </w:r>
        <w:r w:rsidRPr="00607A95">
          <w:rPr>
            <w:rFonts w:ascii="Times New Roman" w:hAnsi="Times New Roman" w:cs="Times New Roman"/>
          </w:rPr>
          <w:t xml:space="preserve">                                                                                 SpotLaw</w:t>
        </w:r>
      </w:p>
    </w:sdtContent>
  </w:sdt>
  <w:p w:rsidR="00607A95" w:rsidRPr="00607A95" w:rsidRDefault="00607A95">
    <w:pPr>
      <w:pStyle w:val="Footer"/>
      <w:rPr>
        <w:rFonts w:ascii="Times New Roman" w:hAnsi="Times New Roman" w:cs="Times New Roman"/>
      </w:rPr>
    </w:pPr>
    <w:r w:rsidRPr="00607A95">
      <w:rPr>
        <w:rFonts w:ascii="Times New Roman" w:hAnsi="Times New Roman" w:cs="Times New Roman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7107" w:rsidRDefault="00AE7107" w:rsidP="00607A95">
      <w:pPr>
        <w:spacing w:after="0" w:line="240" w:lineRule="auto"/>
      </w:pPr>
      <w:r>
        <w:separator/>
      </w:r>
    </w:p>
  </w:footnote>
  <w:footnote w:type="continuationSeparator" w:id="1">
    <w:p w:rsidR="00AE7107" w:rsidRDefault="00AE7107" w:rsidP="00607A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B559B2"/>
    <w:rsid w:val="000105D9"/>
    <w:rsid w:val="00056A12"/>
    <w:rsid w:val="000C4D41"/>
    <w:rsid w:val="000E35AF"/>
    <w:rsid w:val="001676B9"/>
    <w:rsid w:val="001873F2"/>
    <w:rsid w:val="001A3EA6"/>
    <w:rsid w:val="001D1B2C"/>
    <w:rsid w:val="001D7193"/>
    <w:rsid w:val="00250000"/>
    <w:rsid w:val="00274033"/>
    <w:rsid w:val="002A74C5"/>
    <w:rsid w:val="002D49A2"/>
    <w:rsid w:val="00314CC6"/>
    <w:rsid w:val="003635C8"/>
    <w:rsid w:val="003D1C2B"/>
    <w:rsid w:val="003E137C"/>
    <w:rsid w:val="003E57BE"/>
    <w:rsid w:val="00421961"/>
    <w:rsid w:val="0046031D"/>
    <w:rsid w:val="004903D4"/>
    <w:rsid w:val="00490C90"/>
    <w:rsid w:val="004B3662"/>
    <w:rsid w:val="004E72C2"/>
    <w:rsid w:val="005441B3"/>
    <w:rsid w:val="00583F6E"/>
    <w:rsid w:val="00597989"/>
    <w:rsid w:val="005D05F4"/>
    <w:rsid w:val="00602576"/>
    <w:rsid w:val="00607A95"/>
    <w:rsid w:val="0064409C"/>
    <w:rsid w:val="006450CE"/>
    <w:rsid w:val="00656C61"/>
    <w:rsid w:val="006D1E00"/>
    <w:rsid w:val="00736E37"/>
    <w:rsid w:val="007375E8"/>
    <w:rsid w:val="0074714B"/>
    <w:rsid w:val="007871DF"/>
    <w:rsid w:val="0081384E"/>
    <w:rsid w:val="008175C5"/>
    <w:rsid w:val="00824008"/>
    <w:rsid w:val="008623B0"/>
    <w:rsid w:val="008810B5"/>
    <w:rsid w:val="00894BD6"/>
    <w:rsid w:val="008D5A3D"/>
    <w:rsid w:val="008E451C"/>
    <w:rsid w:val="00972E0A"/>
    <w:rsid w:val="009D183C"/>
    <w:rsid w:val="009E65D7"/>
    <w:rsid w:val="009F1CE9"/>
    <w:rsid w:val="009F5096"/>
    <w:rsid w:val="00A30B2C"/>
    <w:rsid w:val="00A90860"/>
    <w:rsid w:val="00AE7107"/>
    <w:rsid w:val="00B03FDF"/>
    <w:rsid w:val="00B12CA5"/>
    <w:rsid w:val="00B4276B"/>
    <w:rsid w:val="00B559B2"/>
    <w:rsid w:val="00B929B4"/>
    <w:rsid w:val="00B96840"/>
    <w:rsid w:val="00B96C66"/>
    <w:rsid w:val="00BC29A6"/>
    <w:rsid w:val="00BC46A7"/>
    <w:rsid w:val="00C31DE4"/>
    <w:rsid w:val="00C53EC7"/>
    <w:rsid w:val="00C76C34"/>
    <w:rsid w:val="00C878B4"/>
    <w:rsid w:val="00C87DB8"/>
    <w:rsid w:val="00D04C11"/>
    <w:rsid w:val="00D37FDB"/>
    <w:rsid w:val="00D75E12"/>
    <w:rsid w:val="00D975BB"/>
    <w:rsid w:val="00E300C3"/>
    <w:rsid w:val="00E60301"/>
    <w:rsid w:val="00F46F73"/>
    <w:rsid w:val="00F97722"/>
    <w:rsid w:val="00FB697F"/>
    <w:rsid w:val="00FD6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7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07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7A95"/>
  </w:style>
  <w:style w:type="paragraph" w:styleId="Footer">
    <w:name w:val="footer"/>
    <w:basedOn w:val="Normal"/>
    <w:link w:val="FooterChar"/>
    <w:uiPriority w:val="99"/>
    <w:unhideWhenUsed/>
    <w:rsid w:val="00607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A95"/>
  </w:style>
  <w:style w:type="paragraph" w:styleId="ListParagraph">
    <w:name w:val="List Paragraph"/>
    <w:basedOn w:val="Normal"/>
    <w:uiPriority w:val="34"/>
    <w:qFormat/>
    <w:rsid w:val="00B12C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15240</Words>
  <Characters>86870</Characters>
  <Application>Microsoft Office Word</Application>
  <DocSecurity>0</DocSecurity>
  <Lines>723</Lines>
  <Paragraphs>203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Main</cp:lastModifiedBy>
  <cp:revision>2</cp:revision>
  <dcterms:created xsi:type="dcterms:W3CDTF">2016-05-04T05:56:00Z</dcterms:created>
  <dcterms:modified xsi:type="dcterms:W3CDTF">2016-05-04T05:56:00Z</dcterms:modified>
</cp:coreProperties>
</file>