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REPORTABLE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CIVIL APPEAL NO.  4474 OF 2015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(Arising out of Special Leave Petition(C) No.837 of 2012)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Prem Ram                                     …Appellant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Vs.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Managing Director, Uttarakhand Pey Jal &amp;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Nirman Nigam, Dehradun and Ors.              …Respondents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T.S. THAKUR, J.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1.       Leave granted.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2.    This appeal arises out of an order dated 30th  June,  2011  passed  by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High Court of Uttarakhand at Nanital whereby Special  Appeal  No.128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2011 filed by the appellant has been dismissed and the order passed  by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learned Single Judge  of  that  Court  in  Writ  Petition  324(MS)  of  2004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affirmed.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3.    The appellant, it appears, was  appointed  as  a  daily-wager  in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erstwhile Uttar Pradesh Pey Jal &amp; Nirman Nigam sometime in  the  year  1988.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Nine years  later  his  services  were  terminated  in  February  1997.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termination, when assailed by the appellant before  the  Labour  Court,  was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set aside with a direction to the  respondent  to  reinstate  the  appellant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with 50% back wages and continuity of service. The writ  petition  filed  by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respondent-Jal Nigam who is the successor-in interest of  the  erstwhile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Uttar Pradesh Pey Jal Nigam against the  award  made  by  the  Labour  Court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succeeded only in part and to the extent that the award of  back  wages  was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deleted from the award by the  Labour  Court.   It  is  common  ground  that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pursuant to the award, the appellant was allowed to rejoin as a  daily-wager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and to serve the respondent-Jal Nigam till the date  of  his  superannuation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upon completion of 60 years of age.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4.    In the year 2008, the appellant filed Writ Petition  No.1116  of  2008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before the High Court for a mandamus  directing  respondents  to  regularise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lastRenderedPageBreak/>
        <w:t>his services w.e.f. 1st July, 2003  on  the  post  of  Jeep  Driver  and  to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release consequential benefits in his favour including arrears due  to  him.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appellant’s case in the writ petition was that  other  daily-wagers  who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were  junior  to  him  and  appointed  after  the  year  1988  having   been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regularized in service,  the  appellant  could  not  merely  because  of  an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illegal order of termination of his services be deprived  of  that  benefit.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appellant contended that the termination order having been set aside  by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Labour Court which order was affirmed by the High Court with  continuity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of his service, there was no reason for denial of benefits that  would  have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flowed to him  but  for  the  order  of  termination  especially  when  such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benefits  were  extended  to  other  similarly  situate  contemporaries  and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juniors of the appellant.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5.    The writ petition coming before the Single Judge  Bench  of  the  High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Court at Uttarakhand was dismissed by an order dated 23rd May, 2011  on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authority of the decision of this Court in  Secretary,  State  of  Karnataka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and Ors. v. Umadevi (3) (2006) 4 SCC 1.  The High Court  at  the  same  time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allowed  the  appellant  to  move  a  representation  before  the  concerned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authorities in the light of paragraph 53 of  the  decision  in  Umadevi  (3)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case (supra).  The High  Court  observed  that  if  there  is  a  scheme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regularization the claim of the  appellant  should  also  be  considered  in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accordance therewith.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6.    Dissatisfied with the above order,  the  appellant  preferred  Special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Appeal No.128 of 2011 which, as noticed earlier, has been dismissed  by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Division Bench of the High Court. The High Court held that since  there  was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no scheme  for  regularization  of  daily-wagers  and  those  named  by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appellant in the writ petition had been regularized  by  the  Uttar  Pradesh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Jal Nigam at a time when Uttarakhand Pey Jal and Nirman  Nigam  was  not  in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existence, nothing further could be  done  in  the  matter  nor  any  relief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granted to the appellant.  The present appeal  assails  the  correctness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said two judgments and orders of the High Court.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7.    When the matter came up for hearing before this  Court  on  8th  July,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2013, learned counsel for the respondent-Corporation  was  granted  time  to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take instructions whether any scheme within the contemplation of para 53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Umadevi (3) case (supra) had been formulated by  the  respondent-Corporation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and in case no such scheme has been formulated, whether the  Corporation  is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willing to formulate one.  The matter again came  up  for  hearing  on  18th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November, 2013.  It was argued by Ms. Rachana Srivastava, counsel  appearing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for the respondent-Uttarakhand Pey Jal &amp; Nirman Nigam that while  the  Nigam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had passed  a  resolution  adopting  the  scheme  formulated  by  the  State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Government in terms of the directions of this  Court  in  Umadevi  (3)  case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(supra), the Government’s approval for such an adoption had not so far  been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received. She prayed for and was granted time to place on record a  copy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Government scheme adopted by the Nigam  as  also  the  resolution  under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which the same was adopted besides, a copy of the approval, if any,  granted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by the Government to such adoption.  On 27th October, 2014, when the  matter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came-up once again for  hearing,  our  attention  was  drawn  to  additional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documents filed by the appellant from which it  appeared  that  the  persons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who figured at serials no.78 to  82  at  page  12  of  the  said  additional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documents had been regularized w.e.f. 1st July, 2003, although  their  entry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into service was shown to be 6th of June, 1989  onwards.   It  was  on  that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basis argued that persons junior to the appellant  having  been  regularized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in service, whereas the appellant could not have been deprived of a  similar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benefit simply because his services were illegally terminated. On behalf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respondent-Jal Nigam it was, on the other hand, argued that there was  a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difference between cases of persons appearing at serial  nos.78  to  82  and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that of the appellant inasmuch as the  former  were  work-charged  employees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while the appellant was appointed  as  a  daily-wager.  At  the  request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learned counsel for the respondent-Nigam the matter was  adjourned  by  four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weeks to enable the Nigam to file an  additional  affidavit  as  to  whether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regularization had been ordered after  undertaking  any  screening/selection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process and if so, on what terms and conditions.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8.    From the affidavit filed, in compliance with the directions issued  by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this Court, it  appears  that  the  Government  of  Uttarakhand  had  framed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Regularization Rules 2011 for regularization of daily-wagers  and  temporary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employees who had been appointed on or before 1st  November,  2011  and  had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completed 10 years of continuous service by that date. The said  Rules  were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then adopted by the Board of respondent-Jal Nigam  in  terms  of  resolution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passed in its  12th  Meeting  and  approval  of  the  State  Government  for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implementation of  the  said  Rules  in  the  Nigam  sought  under  Managing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Director’s  letter  dated  3rd  March,  2012  addressed  to  the   Principal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Secretary, Peyjal Nigam, Government of Uttarakhand. While  the  approval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Government was still awaited, the  Government  appears  to  have  framed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fresh Regularisation Rules in supersession  of  the  Rules  of  2011.  These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Rules are said to be under challenge before the High  Court  of  Uttarakhand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at Nanital in which the High Court appears to have  passed  certain  interim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orders also.  From the affidavits it is further evident  that  five  persons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named by the appellant appearing at serials no.78  to  82  of  the  list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juniors have been regularized in service. It is  not  in  dispute  that  all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these persons were appointed on dates subsequent to the date of  appointment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of the appellant. The respondent, however,  has  attempted  to  justify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regularization of juniors mentioned above on the ground that they  had  been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appointed in work-charge establishment whereas the appellant  herein  was  a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daily-wager.  We asked learned counsel for  the  respondent  as  to  whether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daily-wagers on the basis of their seniority or otherwise  were  brought  on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to the work-charged establishment and if  there  was  no  such  practice  or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procedure followed, what was the basis on which the department would  decide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whether the person has to be engaged on a work-charged establishment  or  as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 daily-wager. We must regretfully say that we did not  get  a  satisfactory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answer to that question nor does any of  the  several  affidavits  filed  in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these proceedings by  the  respondent-Jal  Nigam  point  out  a  qualitative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difference between daily-wager on the one hand and  a  temporary  engagement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on work-charged establishment on  the  other.   If  engagement  in  a  work-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charged establishment rest on a  criterion,  no  better  than  the  absolute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discretion of the authority engaging them or  the  fortuitous  circumstances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of a vacancy or need in a work-charged establishment, then, there is  indeed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no difference between  a  daily-wager  on  the  one  hand  and  work-charged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employees on the other. No  distinction  can  resultantly  be  made  between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these two categories of employees  for  in  essence,  the  nature  of  their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engagement remains  the  same  except  that  in  the  case  of  work-charged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employees,  the  wages/emoluments  appear  to  be  borne  from  out  of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allocation for the project in which they are employed  while  in  the  other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case there is no such specific allocation of funds.  The  classification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work-  charged  and  other  employees  to  say  the  least  remains   wholly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unsatisfactory at least for the purposes of the  case  in  hand  leaving  no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option for us but to treat the case  of  the  daily-wagers  and  work-charge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employees on the same footing when it comes to  granting  regularization  to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them.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9.    If that be so, there is no denying the fact that the persons who  were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junior to the appellant, having been engaged much later than  him,  steal  a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march over him in terms of regularization in  service  while  the  appellant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remained embroiled in litigation over what was eventually  found  to  be  an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illegal termination of his service.  It  is  true  that  the  appellant  has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already superannuated. That does not, however, make  any  difference.   What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is important is that the appellant had been appointed as  early  as  in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year 1988 and had by the time the decision of this Court  in  Umadevi’s  (3)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case (supra) pronounced, already  completed  more  than  10  years  service.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Government has formulated rules for regularization of such daily-wagers,  no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matter the same are the subject  matter  of  a  challenge  before  the  High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Court. What is noteworthy is that neither the State Government nor  the  Jal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Nigam has resented the idea of regularization of those who have  served  for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over a decade. The rules  providing  for  regularization  are  a  sufficient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enough indication of that fact. We do not, therefore, see any impediment  in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directing regularization of the service of the appellant on the  analogy  of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his juniors with effect from the date his juniors were regularized  and  for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the release of all retiral benefits in his favour on that basis by  treating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him to be in continuous service till the  date  of  his  superannuation.  We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make it clear that this direction will not entitle the  appellant  to  claim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any amount towards arrears of salary based on such regularization.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10.   In the result, this  appeal  succeeds  and  is  hereby  allowed.   The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orders passed by the High Court are set aside and the  writ  petition  filed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by  the  appellant  disposed  of  in  terms  of  the  directions   contained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hereinabove. The parties are directed to bear their own costs.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………………………………….…..…J.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…………………………..……………...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(ADARSH KUMAR GOEL)</w:t>
      </w:r>
    </w:p>
    <w:p w:rsidR="00350CBD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New Delhi</w:t>
      </w:r>
    </w:p>
    <w:p w:rsidR="009E65D7" w:rsidRPr="00350CBD" w:rsidRDefault="00350CBD" w:rsidP="00350CB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50CBD">
        <w:rPr>
          <w:rFonts w:ascii="Times New Roman" w:hAnsi="Times New Roman" w:cs="Times New Roman"/>
          <w:sz w:val="25"/>
          <w:szCs w:val="25"/>
        </w:rPr>
        <w:t>May 15, 2015</w:t>
      </w:r>
    </w:p>
    <w:sectPr w:rsidR="009E65D7" w:rsidRPr="00350CBD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C9" w:rsidRDefault="007072C9" w:rsidP="00607A95">
      <w:pPr>
        <w:spacing w:after="0" w:line="240" w:lineRule="auto"/>
      </w:pPr>
      <w:r>
        <w:separator/>
      </w:r>
    </w:p>
  </w:endnote>
  <w:endnote w:type="continuationSeparator" w:id="1">
    <w:p w:rsidR="007072C9" w:rsidRDefault="007072C9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072C9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C9" w:rsidRDefault="007072C9" w:rsidP="00607A95">
      <w:pPr>
        <w:spacing w:after="0" w:line="240" w:lineRule="auto"/>
      </w:pPr>
      <w:r>
        <w:separator/>
      </w:r>
    </w:p>
  </w:footnote>
  <w:footnote w:type="continuationSeparator" w:id="1">
    <w:p w:rsidR="007072C9" w:rsidRDefault="007072C9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84407"/>
    <w:rsid w:val="006D1E00"/>
    <w:rsid w:val="007072C9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2016-05-04T06:00:00Z</dcterms:created>
  <dcterms:modified xsi:type="dcterms:W3CDTF">2016-05-04T06:00:00Z</dcterms:modified>
</cp:coreProperties>
</file>