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             Reportable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CIVIL APPEAL NO.4494 OF 2015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(ARISING OUT OF SLP (CIVIL) NO.34115 OF 2013)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Maharaji Educational Trust             ... APPELLANT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SGS Construction &amp; Dev. P. Ltd. &amp; Ors.    ...RESPONDENTS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CIVIL APPEAL NO.4495 OF 2015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(ARISING OUT OF SLP (CIVIL) NO.36569 OF 2013)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U.P. Avas Evam Vikas Parishad                ...APPELLANT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VERSUS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SGS Construction &amp; Dev. P. Ltd. &amp; Ors.    ...RESPONDENTS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CIVIL APPEAL NO.4496  OF 2015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(ARISING OUT OF SLP (CIVIL) NO.1510 OF 2014)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Housing &amp; Urban Development Corpn. Ltd.    ... APPELLANT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VERSUS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SGS Construction &amp; Dev. P. Ltd. &amp; Ors.    ...RESPONDENTS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Arun Mishra, J.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1.    Leave granted in all the special leave petitions.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2.    In the appeals the judgment and order dated 25.9.2013  passed  by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High Court of Allahabad, Bench at Lucknow, has been questioned  by  Maharaji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Educational Trust (for short ‘the Trust’), U.P.  Avas  Evam  Vikas  Parishad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(for short ‘Avas Evam Vikas Parishad’) and  Housing  and  Urban  Development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Corporation (hereinafter referred to as ‘HUDCO’) whereby the High Court  has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directed the Avas Evam Vikas  Parishad  to  demarcate  42.45  acres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mortgaged land and 21 acres as unencumbered land out of total area of  63.45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acres in writ petition filed by SGS  Construction  &amp;  Development  (P)  Ltd.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(for short ‘Builder’).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3.    The factual matrix indicate that the  Trust  has  taken  a  loan  from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HUDCO. The outstanding figure at  present  is  stated  to  be  approximately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lastRenderedPageBreak/>
        <w:t>Rs.433 crores. There was default  in  making  the  payment.  The  Trust  had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mortgaged the immovable properties mentioned from  serial  Nos.1  to  5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also the property at serial No.6 which is in question in the present  matter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 an area of 63.45 acres of  vacant  land  situated  at  village  Akbarpur,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village Behrampur and village Mirzapur, Pargana-Loni,  Tehsil  and  District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Ghaziabad. Out of the property mentioned at serial No.6 which was  mortgaged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HUDCO, the Trust had exchanged the land in  area  21  acres  from  Avas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Evam Vikas Parishad vide  Exchange  Deed  dated  4.5.2007.  Thereafter,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Trust had also deposited the deed of exchange of the said  land  with  HUDCO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on 27.7.2011.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4.     As  the  loan  was  not  repaid  by  the  Trust,  HUDCO  had  started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proceedings before  the  Debt  Recovery  Tribunal  at  Delhi.  The  recovery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proceedings are pending before the Recovery Officer, in  which  the  builder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has filed objections which are stated to be  pending.  The  objections  have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been filed by the Builder in respect of property  No.6  against  the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initiated by HUDCO for sale of mortgaged property under  Securitisation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Reconstruction of Financial Assets  and  Enforcement  of  Security  Interest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Act, 2002 (hereinafter referred to as ‘the SARFAESI Act’).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5.    The Builder has filed objections on the strength of  an  agreement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sell dated 26.8.2010 entered with Trust  which  was  initially  unregistered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purchase of 63.45 acres  of  land  comprised  in  property  No.6,  which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includes the 21 acres of land which was exchanged  by  the  Trust  with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Avas Evam Vikas Parishad. The agreement was  executed  between  the  Builder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and the Trust for consideration of Rs.154 crores. Out of  the  same,  it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submitted that sum of Rs.9 crores has  been  paid  by  the  Builder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Trust. The agreement  had  been  registered  subsequently,  which  has  been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questioned by the Trust and writ  petition  is  pending  in  High  Court  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Allahabad.  A civil suit is also stated to be pending.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6.     Notwithstanding  the  pendency  of  the  aforesaid  proceedings,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Builder preferred writ  petition  in  question  before  the  High  Court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Allahabad, Bench at Lucknow claiming following reliefs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“i)  Issue   a   writ   in   the   nature   of   mandamus   commanding 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Respondent/Opposite Party  No.1  i.e.  U.P.  Awas  Evam  Vikas  Parishad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demarcate lands  measuring  42.45  acres  out  of  63.45  acres,  which  are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mortgaged so that if  at  a  later  date  the  properties  at  Sl.  No.6  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mentioned in Annexure P/1 were to be sold  by  the  Respondent  No.3,  there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would be no ambiguity in identifying the mortgaged property.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ii) Issue a writ, order or  direction  commanding  the  Respondent  No.2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implement its order dated  6th  September,  2011  in  a  time  bound  manner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preferably with a period of 3 months in order  to  sell  properties  at  Sl.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No.1 to 5 as mentioned in Annexure P/1 and further restrain  the  Respondent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No.2 to proceed with the application filed  by  the  Respondent  No.3  dated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20.10.2011 (Annexure P/7) till the properties at  Sl.  No.1  to  5  are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sold.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iii) Issue any writ, direction or orders as may be deemed fit and proper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facts and circumstances of the case.”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Second prayer had been abandoned at the time of final hearing  of  the  writ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petition.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7.          On behalf of the appellants, it was submitted  that  it  is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function of Avas Evam Vikas Parishad to demarcate the land on the  basis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an agreement entered into inter se between the  Trust  and  the  Builder.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Uttar Pradesh Avas Evam Vikas Parishad Adhiniyam, 1965  (in  short  referred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as Adhiniyam of 1965) has been enacted so as to further various kinds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housing schemes and development projects. The powers  under  Section  15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Adhiniyam of 1965 cannot be exercised out of context  of  the  Act.   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was also submitted that Lucknow Bench had no jurisdiction to  entertain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writ petition. The High Court could not have treated the property  exchanged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by Avas Evam Vikas Parishad with the Trust  as  unencumbered  one.   It  was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further submitted that on the strength of unregistered  agreement  to  sell,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 right, title or interest passes  to  the  Builder.  The  registration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agreement to sale which had been obtained subsequently, has been  stayed  by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High Court in the pending writ application.  The  writ  petition  was  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misconceived venture. By virtue of section 70 of the  Transfer  of  Property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Act (for short ‘the TP Act’), HUDCO was having a right over the property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Trust obtained in exchange with mortgaged property.  The  Deed  of  Exchange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has also been deposited by the Trust with HUDCO.  No  application  was  ever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filed by the Builder with the Avas Evam Vikas Parishad  for  demarcation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land. There was no housing scheme framed by Avas Evam  Vikas  Parishad  with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respect to the land which had been given in exchange  to  the  Trust.  Thus,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provision of section 15 of the Adhiniyam of 1965 is not  attracted.  It  was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also submitted on behalf  of  the  appellants  that  the  Builder  is  dilly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dallying the recovery proceedings by filing frivolous litigation.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8.          Per contra, on behalf of the Builder, it was submitted that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agreement to sell has been executed in favour of the Builder  by  the  Trust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respect to 63.45 acres of land which includes  21  acres  of  the  land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given by Avas Evam  Vikas  Parishad  to  the  Trust  in  exchange.  Recovery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proceedings  against  the  Trust  are  pending  before  the  Debt   Recovery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Tribunal, New Delhi, in which objections have been preferred by the  Builder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which  are  pending  consideration.  The  Builder  having  entered  into  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agreement, had the right to apply to Avas Evam Vikas Parishad  to  demarcate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land it had exchanged with the Trust. The direction for  demarcation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beneficial to all concerned. No case  for  interference  is  made  out.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Builder has submitted a proposal under section 56 of the  T.P.  Act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Chairman of HUDCO. The land given by the Avas Evam  Vikas  Parishad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Trust was unencumbered. The 21 acres of land obtained in  exchange  was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mortgaged with HUDCO. Indubitably, Lucknow Bench  had  the  jurisdiction  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Head Office of Avas Evam Vikas Parishad  is  situated  at  Lucknow.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Avas Evam Vikas Parishad had the onus to  demarcate  the  land  as  provided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under section 15(1) (e), (k) (m) and (o).  The  Builder  had  the  right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know/identify the property i.e. 21 acres of  land  which  was  unencumbered.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land received by the Avas Evam Vikas Parishad from the  Trust  has  been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utilised for a housing  scheme.  Thus,  the  impugned  order  calls  for  no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interference.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9.          After hearing learned counsel for the parties at length, we  are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considered opinion that it was a misadventure  on  the  part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Builder to file a writ petition for the kind of reliefs prayed for and  that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too could not have been entertained by the Bench at Lucknow.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10.   It is not in dispute that property Nos.1 to 6 had been mortgaged  with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HUDCO by the Trust. Property No.6 which is in  dispute  comprised  of  63.45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acres of land which  was  initially  mortgaged  by  the  Trust  with  HUDCO.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Proceedings for recovery of debt which seems to have  presently  amassed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more than Rs. 433 crores under the SARFAESI Act,  are stated to  be  pending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before the  Debt  Recovery  Tribunal,  Delhi.  The  property  is  admittedly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situated in the district of Ghaziabad, State of  U.P.  and  Ghaziabad  falls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within the territorial limits  of  the  main  seat  of  the  High  Court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Allahabad. Undisputedly,  objections  had  been  preferred  by  the  Builder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before the Recovery Officer, Debt Recovery Tribunal, Delhi.  Admittedly,  21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acres of land, out of the total of 63.45 acres which was mortgaged to  HUDCO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as item No.6,  had  been  exchanged  by  the  Trust  with  Avas  Evam  Vikas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Parishad. Thus,  the  exchange  was  with  the   property  which  was  under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mortgage with HUDCO and the exchange deed had been deposited  by  the  Trust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HUDCO on 11.7.2011.  Before  the  Debt  Recovery  Officer,  New  Delhi,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prayer has been made by the Builder to sell property Nos.1 to 5 and  not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sell property No.6 with respect to which he has entered  into  an  agreement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the Trust.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11.   The writ petition filed  for  the  aforesaid  twin  reliefs,  was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maintainable before the writ court; firstly, it is not  within  ken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High Court in writ jurisdiction to  declare  any  property  as  unencumbered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one. Such rights between private parties cannot be  made  subject-matter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writ jurisdiction  as has been ordered in the impugned  judgment  and  order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that out of a total of 63.45 acres of land, 21 acres  be  demarcated  as  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unencumbered  property  and  to  maintain  status  quo.  Following  is 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operative portion of the order passed by the Division Bench at Lucknow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“In the premises discussed hereinabove, we are of the considered  view  that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relief as sought in prayer no.1 can be granted by  directing  respondent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no.1 to demarcate 42.45 acres,  said  to  be  mortgaged,  and  21  acres  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unencumbered, out of the total area of 63.45 acres, as mentioned  at  serial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no.6, in the list of properties as detailed  in  the  foregoing  paragraphs.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Thus, we allow this petition and direct respondent no. 1 to  carry  out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aforesaid exercise of demarcation either itself or being an  instrumentality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State, and  having  statutory  duties  as  extracted  and  reproduced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hereinabove, with the help of revenue authorities  concerned.  Moreover,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view of the chequered background  of  the  litigation  in  respect  of 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lands/properties in  question,  and  the  conduct  of  respondent  no.3,  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noticed above, we also deem it expedient  in  the  interest  of  justice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direct and thus it is ordered that the parties  shall  maintain  status  quo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qua the lands, namely, 21 acres out of the total  area  of  63.45  acres  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mentioned at serial no.6. We also direct that the said area of 21  acres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land at serial no. 6 shall not be alienated and/or  transferred  in  any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manner till the exercise of demarcation is fully carried out  in  accordance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law. Additionally, it is  further  directed  that  the  area  of  42.45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acres, said to be encumbered and 21 acres, as unencumbered shall be  clearly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identified and segregated in the presence of the parties.”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12.   Though, there is serious  dispute  between  the  parties  to  the  lis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whether the said land is unencumbered, finding has been given  by  the  High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Court that 21 acres of land is unencumbered. The High Court could  not  have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treated 21 acres of land as unencumbered one out of 63.45 acres. It was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open to the High Court to enter into  the  aforesaid  arena,  which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property is encumbered and to be sold in realization of debt is the  outlook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Recovery Officer, DRT, Delhi,  where  the  recovery  proceedings  are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pending, including the objections preferred by the Builder.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13.   In our opinion, it was  not  open  to  the  Builder  to  file  a  writ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application for the aforesaid reliefs. Though the  second  relief  had  been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abandoned at the time of final arguments but  the  first  relief  could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have been granted without going into the said question. The  High  Court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writ jurisdiction has made a declaration that the property 21 acres of  land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is unencumbered. The High Court could not have adjudicated on  the  property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rights under the guise of directing Avas Evam Vikas  Parishad  to  demarcate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land and give finding that it was unencumbered land. The High Court  has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erred in law in giving a finding on merits on effect of  exchange  and  that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section 70 of TP Act is not applicable. It was not the function of the  High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Court to decide these questions under writ jurisdiction. Section 70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TP Act is extracted hereunder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“70. Accession to mortgaged property.—If, after the date of a mortgage,  any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accession is made to the mortgaged property, the mortgagee, in  the  absence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a contract to the contrary, shall, for the purposes of the  security,  be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entitled to such accession.”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14.   We could have decided the  aforesaid  question  finally.  However,  we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refrain from doing so as, in our opinion, it was not open to the High  Court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take up these questions  under  writ  jurisdiction  and  to  declare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properties as unencumbered. It was for the parties to agitate the  questions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before the DRT where the recovery proceedings are pending  at  the  instance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HUDCO with whom the property had been mortgaged by the Trust.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15.   Prima facie, we are of the view that on the strength of the  agreement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sell, particularly when possession  had  not  been  handed  over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Builder, it was not open to him to file a writ application  for  demarcation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property as unencumbered property or otherwise. What  was  sought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 achieved by filing a writ petition, was to get  rid  of  the  proceedings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pending before the Recovery Officer, DRT at  Delhi,  and  to  save  land  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serial No.6 from being sold which includes 21 acres of land, and an  attempt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was made to get the 21 acres of land declared  as  unencumbered  one.  As  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matter of fact, such disputed  questions  with  respect  to  the  properties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inter se between the Builder and the Trust as to demarcation, writ  petition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could not be said to be appropriate  remedy,  particularly  when  the  order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passed by the Recovery Officer, DRT, was  not  in  question  and  the  order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passed by the DRT, Delhi, could not have been questioned before the  Lucknow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Bench of High Court of Allahabad.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16.   It was submitted on behalf of the Builder that the writ  petition  was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filed before the Lucknow Bench of the High Court of Allahabad  as  the  Head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Office of Avas Evam Vikas Parishad is located at Lucknow  and  part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cause of action has arisen at Lucknow. In view of the  fact  that  the  Avas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Evam Vikas Parishad had exchanged the 21 acres of land with  the  Trust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it had a statutory duty enjoined under section 15 of the Adhiniyam  of  1965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so as to conduct survey and demarcate the land. In our  considered  opinion,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 part of the cause of action to the Builder has arisen  at  Lucknow  where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Head Office of Avas Evam Vikas Parishad is  situated.  Avas  Evam  Vikas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Parishad was not at all answerable to the Builder. As way-back in  the  year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2007, much before agreement to sell was entered into, it had  exchanged  its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21 acres of land with the Trust. Moreover, no application was ever filed  by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Builder to Avas Evam Vikas  Parishad  for  seeking  demarcation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land. Thus, in case of dispute inter se between the Builder  and  the  Trust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based upon subsequent agreement to sale entered into in 2010, there  was  no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right available to the Builder to ask Avas Evam Vikas Parishad to  demarcate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land which it had already given to the Trust.  After  the  21  acres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land had been given to the Trust,  Avas Evam Vikas Parishad had  nothing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do with that land. This, it was a wholly misconceived venture  on  the  part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Builder to ask Avas Evam Vikas Parishad to demarcate the  land  given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the Trust, particularly when the Parishad  was  not  having  any  housing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scheme with respect to the land which had been given to the Trust.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Thus, filing of the writ petition at Lucknow Bench was  totally  uncalled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and the propriety required that it should not have been  entertained  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Lucknow Bench. Merely because the transfer petition filed in this court  for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transfer of case was withdrawn and the direction was  issued  by  the  Chief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Justice of High Court  to  decide   at  an  early  date,  would  not  confer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jurisdiction on Bench at Lucknow, all the questions had been  left  open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 agitated at the time of hearing. In our opinion,  Bench at Lucknow  ought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not to have entertained the petition as it lacked the jurisdiction.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17.   With respect to the jurisdiction of the  Lucknow  Bench,  the  Builder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has relied upon the decision of this Court in Sri Nasiruddin etc.  v.  State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Transport Appellate Tribunal etc. [1975 (2)  SCC  671].  Reliance  has  been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placed upon paras 37 and 38 and the same are reproduced hereunder: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“37. The  conclusion  as  well  as  the  reasoning  of  the  High  Court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incorrect. It is unsound because the expression  "cause  of  action"  in  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application under Article 226 would be as the expression is  understood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if the cause  of  action  arose  because  of  the  appellate  order  or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revisional order which came to be passed at Lucknow then Lucknow would  have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jurisdiction though the original order was passed at  a  place  outside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areas in Oudh. It may be that the  original  order  was  in  favour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person applying for a writ. In such case an adverse  appellate  order  might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 the cause of action. The expression "cause of action" is well- known.  If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cause of action  arises  wholly  or  in  part  at  a  place  within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specified Oudh areas, the Lucknow  Bench  will  have  jurisdiction.  If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cause of action arises  wholly  within  the  specified  Oudh  areas,  it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indisputable that the Lucknow Bench would  have  exclusive  jurisdiction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such a matter. If the cause of action arises in part  within  the  specified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areas in Oudh it would be open to the litigant who is the dominus  litis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have his forum conveniens. The litigant has the  right  to  go  to  a  Court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where part of his cause of action arises. In such cases, it is incorrect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say that the litigant chooses any particular Court. The choice is by  reason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jurisdiction of the Court being attracted by part of cause of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arising within the jurisdiction of the Court. Similarly,  if  the  cause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action can be said to have arisen partly within specified areas in Oudh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partly outside the specified Oudh areas, the litigant will have  the  choice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institute proceedings either at Allahabad  or  Lucknow.  The  Court  will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find out in each case whether the  jurisdiction  of  the  Court  is  rightly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attracted by the alleged cause of action.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38.   To sum up, our conclusions are as  follows.  First,  there  is  no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permanent seat of the High Court at Allahabad. The seats  at  Allahabad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at Lucknow may be changed in accordance with the provisions  of  the  Order.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Second, the Chief Justice of the High Court has  no  power  to  increase  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decrease the areas in Oudh from time to time. The areas in  Oudh  have  been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determined once by the Chief Justice and, therefore, there is no  scope  for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changing the areas. Third, the Chief Justice  has  power  under  the  second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proviso to paragraph 14 of the Order to direct in his  discretion  that  any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case or class of cases arising in Oudh areas shall be  heard  at  Allahabad.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Any case or class of cases are those which are instituted  at  Lucknow.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interpretation given by the High Court that the word "heard" confers  powers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on the Chief Justice to order that any case or class  of  cases  arising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Oudh areas shall be instituted or filed at Allahabad instead of  Lucknow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wrong. The word "heard" means that cases which have already been  instituted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 filed at Lucknow may in the discretion of the  Chief  Justice  under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second proviso to paragraph 14 of the Order  be  directed  to  be  heard  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Allahabad. Fourth, the expression "cause of action" with regard to  a  civil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matter means that it should be left to the litigant to  institute  cases  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Lucknow Bench or at  Allahabad  Bench  according  to  the  cause  of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arising wholly or in part within either  of  the  areas.  If  the  cause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action arises wholly within Oudh areas then  the  Lucknow  Bench  will  have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jurisdiction. Similarly, if the cause of action arises  wholly  outside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specified areas in Oudh then Allahabad will have jurisdiction. If the  cause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action in part arises in the specified Oudh areas and part of  the  cause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action arises outside the  specified  areas,  it  will  be  open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litigant to frame the case appropriately to attract the jurisdiction  either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at Lucknow or at Allahabad. Fifth, a criminal case arises where the  offence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has been committed or otherwise as provided in the Criminal Procedure  Code.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That will attract the jurisdiction of the Court at Allahabad or Lucknow.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some cases depending on the facts and the provision regarding  jurisdiction,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it may arise in either place.”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18.   Learned counsel for  the  appellants  has  strongly  relied  upon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decision of this Court in Oil and Natural  Gas  Commission  v.  Utpal  Kumar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Basu &amp; Ors. [1994 (4) SCC 711} as follows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“12. Pointing out that after the issuance of the notification by  the  State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Government under Section 52(1) of the Act, the notified land  became  vested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 the State Government free from all encumbrances  and  hence  it  was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necessary for the respondents to plead the service of notice  under  Section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52(2) for the grant of an appropriate direction or order  under  Article 226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quashing the notification acquiring the  land.  This  Court,  therefore,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held that no part of the cause of action arose within  the  jurisdiction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Calcutta High Court. This Court  deeply  regretted  and  deprecated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practice prevalent in the High Court of exercising jurisdiction and  passing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interlocutory orders in matters where it  lacked  territorial  jurisdiction.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Notwithstanding the strong observations made by this Court in the  aforesaid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decision  and  in  the  earlier  decisions  referred  to  therein,  we   are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distressed  that  the  High  Court  of  Calcutta  persists   in   exercising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jurisdiction even in cases where no  part  of  the  cause  of  action  arose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within its territorial jurisdiction. It is indeed a great pity that  one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premier High Courts of the country should appear  to  have  developed  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tendency to assume jurisdiction on  the  sole  ground  that  the  petitioner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before it resides in or carries on business from a registered office in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State of West Bengal. We feel all the more pained that  notwithstanding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observations of this Court made time and again, some of the  learned  Judges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continue to betray that tendency. Only recently while disposing  of  appeals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arising out of SLP Nos. 10065-66 of  1993,  Aligarh  Muslim  University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Anr. v. Vinay Engineering Enterprises (P) Ltd. and Anr., [1994 (4) SCC  710]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this Court observed: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“We are surprised, not a little, that the  High  Court  of  Calcutta  should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have  exercised  jurisdiction  in  a  case  where  it  had   absolutely   no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jurisdiction.”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 that case,  the  contract  in  question  was  executed  at  Aligarh,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construction work was to be carried out at Aligarh, the  contracts  provided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that  in  the  event  of  dispute  the  Aligarh  Court   alone   will   have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jurisdiction, the Arbitrator was appointed at Aligarh and  was  to  function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at Aligarh and yet merely because the respondent was a Calcutta based  firm,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it instituted proceedings in the Calcutta High  Court  and  the  High  Court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exercised jurisdiction where it had none whatsoever. It must  be  remembered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that the image and prestige of a Court depends on how the  members  of  that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institution conduct themselves. If an impression gains ground that  even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cases which fall outside the territorial jurisdiction of the Court,  certain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members of the Court would be willing to exercise jurisdiction on  the  plea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that some event, however trivial and unconnected with the  cause  of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had occurred within the jurisdiction of  the  said  Court,  litigants  would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seek to abuse the process by carrying the cause before such  members  giving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rise  to  avoidable  suspicion.  That  would  lower  the  dignity   of 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institution and put the entire system to ridicule. We are greatly pained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say so but if we do not strongly deprecate the growing tendency we will,  we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are afraid, be failing in our duty to the  institution  and  the  system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administration of justice.  We  do  hope  that  we  will  not  have  another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occasion to deal with such a situation.”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19.   Reliance has also been placed on National Textile Corporation  Ltd.  &amp;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Ors. v. Haribox Swalram &amp; Ors. [2004 (9) SCC 786] as follows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“10. Under clause (2) of Article 226 of the Constitution, the High Court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empowered to issue writs, orders or directions to any Government,  authority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 person exercising jurisdiction in  relation  to  the  territories  within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which the cause of action, wholly or in part, arises  for  the  exercise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such power, notwithstanding that the seat of such  Government  or  authority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 the residence of such person is not within those  territories.  Cause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action as understood in the civil proceedings means  every  fact  which,  if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traversed, would be necessary  for  the  plaintiff  to  prove  in  order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support his right to a judgment of the court. To put it in a different  way,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it is the bundle of facts which taken  with  the  law  applicable  to  them,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gives the plaintiff a right to relief against the  defendant.  In  Union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India v. Adani Exports Ltd. [2002 (1) SCC 567] in the context of clause  (2)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Article 226 of the Constitution, it has  been  explained  that  each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every fact pleaded in the writ petition does not  ipso  facto  lead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conclusion that those facts give rise  to  a  cause  of  action  within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court’s territorial jurisdiction unless those facts pleaded are  such  which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have a nexus or relevance with the lis that is involved in the  case.  Facts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which have no bearing with the lis or dispute involved in the case,  do  not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give rise to a cause of action so as to confer territorial  jurisdiction  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court concerned. A similar question was examined in State  of  Rajasthan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v. Swaika Properties [1985 (3) SCC 217]. Here certain  properties  belonging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a company which had its registered office in Calcutta were sought  to  be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acquired in Jaipur and a notice under Section  52  of  the  Rajasthan  Urban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Improvement Act was served upon the company at Calcutta. The question  which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arose for consideration was whether  the  service  of  notice  at  the  head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office of the company at Calcutta could give  rise  to  a  cause  of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within the State of West  Bengal  to  enable  the  Calcutta  High  Court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exercise  jurisdiction  in  a  matter   where   challenge   to   acquisition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proceedings conducted in Jaipur was made. It was held that the entire  cause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action culminating in the acquisition of the land under  Section  152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 Rajasthan  Act  arose  within  the  territorial  jurisdiction  of 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Rajasthan High Court and it was not necessary for the company to  plead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service of notice upon them at  Calcutta  for  grant  of  appropriate  writ,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order or direction under Article 226 of the Constitution  for  quashing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notice issued by the Rajasthan Government under Section 52 of  the  Act.  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was thus held that the Calcutta High Court had no jurisdiction to  entertain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writ petition.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x x x x x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12.1. As discussed earlier, the mere fact that the writ  petitioner  carries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on business at Calcutta or that the reply to the correspondence made  by  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was received at Calcutta is not an integral part  of  the  cause  of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and, therefore, the Calcutta High Court had  no  jurisdiction  to  entertain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writ petition and the view to the contrary taken by the  Division  Bench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cannot be sustained. In view of the above  finding,  the  writ  petition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liable to be dismissed. However, in order to avoid  any  further  harassment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the parties [pic]and to put an end to the litigation,  we  would  examine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matter on merits as well.”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20.   Reliance has also been placed with respect to jurisdiction of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High Court in the decision of this Court in Alchemist Ltd. &amp; Anr. v. State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Bank of Sikkim &amp; Ors. [2007 (11) SCC 335] as follows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“20. It may be stated that the expression  “cause  of  action”  has  neither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been defined in the Constitution nor in the Code of Civil  Procedure,  1908.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It may, however, be described as a bundle of essential facts  necessary  for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plaintiff to prove before he can succeed. Failure to  prove  such  facts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would give the defendant a right to judgment in his favour. Cause of  action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thus gives occasion for and forms the foundation of the suit.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x x x x x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22. For every action, there has to be a cause of  action.  If  there  is  no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cause of action, the plaint or petition has to be dismissed.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x x x x x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25. The learned counsel for the respondents referred  to  several  decisions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this Court and submitted that whether a  particular  fact  constitutes  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cause of action or not must be  decided  on  the  basis  of  the  facts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circumstances of  each  case.  In  our  judgment,  the  test  is  whether  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particular fact(s) is (are) of substance and can be  said  to  be  material,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integral or essential part of the lis between the  parties.  If  it  is,  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forms a part of cause of action. If it is not, it does not form  a  part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cause of action. It is also well settled that in determining  the  question,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substance of the matter and not the form thereof has to be considered.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x x x x x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38. In the present case, the facts which have been pleaded by the  appellant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Company, in our judgment, cannot  be  said  to  be  essential,  integral  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material facts so as to constitute a part of “cause of  action”  within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meaning of Article 226(2) of  the  Constitution.  The  High  Court,  in  our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opinion, therefore, was not wrong in dismissing the petition.”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21.   Reliance was also placed on the decision  of  this  Court  in  Eastern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Coalfields Ltd. &amp; Ors.  v.  Kalyan  Banerjee  [2008  (3)  SCC  456]  to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following effect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“13. In view of the decision of the Division  Bench  of  the  Calcutta  High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Court that the entire cause of action arose in Mugma area within  the  State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[pic]Jharkhand, we are of the opinion that only because the  head  office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appellant Company was situated in the State of West Bengal, the  same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by itself will not confer any jurisdiction upon  the  Calcutta  High  Court,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particularly when the head office had  nothing  to  do  with  the  order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punishment passed against the respondent.”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22.   We have held that no part  of  the  cause  of  action  has  arisen  at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Lucknow, and it was  not  the  function  of  Avas  Evam  Vikas  Parishad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demarcate the property in case of dispute between private party or  for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purpose of proceeding before the DRT and that the property was  situated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district of Ghaziabad which is not  under  territorial  jurisdiction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Bench at Lucknow. Thus, the writ petition was not  maintainable  at  Lucknow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Bench.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23.   Apart from that, we find that there is  no  merit  in  the  submission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that the Housing Board could have demarcated the land in exercise of  powers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within the purview of section 15 of the Act of 1965. The  objective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Act of 1965 is to tackle the  housing  and  development  problems  of  urban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areas. The objective of the Act is extracted hereunder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“Migration of people from rural to urban area, influx of displaced  persons,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increasing impact of the development activity generated  by  the  Five  Year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Plans  and  several  other  factors  have  resulted  in  rapid  increase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population in towns of this  State.  Construction  of  new  houses  and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planned development of towns has, however, not kept  pace  with  this  rapid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increase of urban population. The efforts in  this  direction  made  by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State Government, Nagar  Mahapalikas,  Nagar  Palikas,  Improvement  Trusts,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Development  Board  and  other  Smaller  Local  Bodies  have,  for  want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effective co-ordination and control, not met with the desired  success.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said local bodies with their limited  resources  and  know-how  and  due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other factors have not been able to relieve  the  housing  shortage  and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undertake the requisite development of land. There are areas in  this  State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immense potentialities of development, but they still  remain  as  they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were a decade or so back. It is  now  considered  absolutely  essential  for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tackling the housing and development problems of practically  all  the  fast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growing urban areas, and areas with potentialities of development,  that  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autonomous central body to be known as  Housing  and  Development  Board  be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created for the whole State. A Comprehensive Bill, called the Uttar  Pradesh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Avas Evam Vikas Parishad Vidheyak has accordingly been prepared  to  provide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the establishment,  incorporation  and  functioning  of  a  Housing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Development  Board  in  this  State.   This   bill   is   being   introduced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accordingly.”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24.   The provisions of section 15 of Adhiniyam of  1965  have  been  relied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upon. Same are extracted below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“15.  Functions of the Board.—(1) Subject to the provisions of this Act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rules and regulations, the functions of the Board shall be—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frame and execute housing and improvement schemes and other projects;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plan and co-ordinate various housing  activities  in  the  State  and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ensure expeditious and efficient implementation of housing  and  improvement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schemes in the State;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provide technical  advice  for  and  scrutinise  various  projects  under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housing and improvement schemes sponsored or assisted by Central  Government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 the State Government;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assume management of such immovable properties  belonging  to  the  State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Government as may be transferred or entrusted to it for this purpose;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maintain, use, allot, lease, or otherwise transfer plots,  buildings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other properties of the Board or of the State Government  placed  under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control and management of the Board;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To organise and run workshops and stores for the  manufacture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stockpiling of building materials;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On such terms and conditions as may be agreed upon  between  the  Board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State Government, to declare houses constructed by it  in  execution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any scheme to be houses subject to the U.P.  Industrial  Housing  Act,  1955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(U.P. Act XXIII of 1955);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regulate building operations;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To improve and clear slums;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To provide roads, electricity, sanitation, water supply  and  other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civic amenities and essential services in areas developed by it;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acquire movable and immovable properties for any of the  purposes  before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mentioned;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To raise loans from the market, to obtain grants  and  loans  from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State Government, the Central Government, local  authorities  and  other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public corporations, and to give grants  and  loans  to  local  authorities,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other public corporations, housing co-operative societies and other  persons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any of the purposes before mentioned;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make investigation, examination or survey of any property  or  contribute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towards the cost of any such investigation, examination or  survey  made  by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any local authority or the State Government;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levy betterment fees;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fulfil any other obligation imposed by or under this  Act  or  any  other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law for the time being in force;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do all such other acts and things as may be necessary for  the  discharge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functions before mentioned.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(2)  Subject to the provisions of this Act and the  rules  and  regulations,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Board may undertake, where it deems  necessary,  any  of  the  following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functions, namely –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promote research for the purpose of expediting the  construction  of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reducing the cost of buildings;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execute works in the  State  on  behalf  of  public  institutions,  local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authorities and other public corporations, and departments  of  the  Central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Government and the State Government;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supply and sell building materials;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To  co-ordinate,  simplify  and  standardise  the  production  of   building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materials  and  to  encourage  and  organise  the  prefabrication  and  mass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production of structural components;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With a view to facilitating the movement of the  population  in  and  around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any city, municipality, town area or notified area, to  establish,  maintain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and operate  any  transport  service,  to  construct  widen,  strengthen  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otherwise improve roads and bridges and to give  financial  help  to  others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such purposes;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To do all such other acts and things as  may  be  necessary  for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discharge of the functions before mentioned.”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25.   Chapter III of Adhiniyam of 1965 deals with the powers  and  functions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the Board  constituted  under  section  3.  Section  15  deals  with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functioning of the Board and the provisions of the Act. It is crystal  clear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from the provisions of section 15 that  the  power  to  make  investigation,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examination or survey of any property is to be exercised  by  the  Board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connection with its functions enjoined in the Act. The power is not  general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 nature. Section 18 deals with types of housing schemes.  Sections  19  to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27 deal in details with the schemes provided in  section  18(1)(a)  to  (i).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Other sections 28 to 49 deal with  acquisitions,  framing  of  schemes,  its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execution, transfer of property to Board, streets, square etc.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26.   It is apparent from the scheme of  the  Adhiniyam  of  1965  that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provisions contained in section 15(1)(m) are not to  be  read  in  isolation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but with reference to the objectives  of  the  Adhiniyam  of  1965  and  its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functions relating to housing and development issues.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27.   The principle of noscitur a socii will  be  applicable  in  construing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Section 15 of the Act and the words “to make investigation,  examination  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survey of any property” in section 15(1)(m)  will  take  their  meaning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colour from the other phrases employed in section 15(1).  As  held  by  this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Court in Rohit Pulp &amp; Paper Mills  Ltd.  v.  Collector  of  Central  Excise,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Baroda  [1990 (3) SCC 447]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“12. The principle of statutory  interpretation  by  which  a  generic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word receives a limited interpretation by reason  of  its  context  is  well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established.  In  the  context  with  which  we  are   concerned,   we   can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legitimately draw upon the “noscitur a sociis”  principle.  This  expression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simply means that “the meaning of a word is to be judged by the  company  it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keeps.” Gajendragadkar, J. explained the scope  of  the  rule  in  State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Bombay v. Hospital Mazdoor Sabha [1960 (2) SCR 866] in the  following  words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: (SCR pp. 873-74)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“This rule, according to Maxwell, means that, when two or  more  words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which are susceptible of analogous meaning are  coupled  together  they  are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understood to be used in their cognate sense. They take  as  it  were  their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colour from each other, that is, the more general is restricted to  a  sense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analogous to a less general. The same rule is  thus  interpreted  in  “Words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and Phrases” (Vol. XIV, p. 207). “Associated words take their  meaning  from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one another under the doctrine of  noscitur  a  sociis,  the  philosophy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which is that  the  meaning  of  a  doubtful  word  may  be  ascertained  by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reference to the meaning of words  associated  with  it;  such  doctrine  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broader than the maxim ejusdem generis” In fact the latter  maxim  “is  only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an illustration or specific application of  the  broader  maxim  noscitur  a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sociis”. The argument is that certain essential features of  attributes  are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invariably associated with the words “business and trade” as  understood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 popular  and  conventional  sense,  and  it  is  the  colour  of  these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attributes which is taken by the other words used in the  definition  though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their normal import may  be  much  wider.  We  are  not  impressed  by  this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argument. It must be borne in mind that noscitur a sociis is merely  a  rule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 construction and it cannot prevail in cases where it is  clear  that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wider words have been deliberately used in order to make the  scope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defined word correspondingly wider. It is only where the  intention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legislature in associating wider words with words of  narrower  significance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is doubtful, or otherwise not clear that the present  rule  of  construction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can be usefully applied. It can also be applied where  the  meaning  of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words of wider import is doubtful, but, where the object of the  legislature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  using  wider  words  is  clear  and  free  of  ambiguity,  the  rule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construction in question cannot be pressed into service.”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This principle has  been  applied  in  a  number  of  contexts  in  judicial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decisions where the court is clear in its mind that the  larger  meaning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word in question could not have been intended in the  context  in  which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it has been used.”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28.   The  Trust  has  submitted  an  application  for  limited  purpose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approval of site plan of housing society to Avas Evam Vikas  Parishad  which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was not pressed by it. The said application  was  not  for  the  purpose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demarcation and  would  not  enure  to  the  benefit  of  the  Builder.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objective of builder  in  writ  petition  was  to  get  land  demarcated  as</w:t>
      </w:r>
    </w:p>
    <w:p w:rsid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unencumbered.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29.   For the purpose of demarcation the  remedy  is  available  before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concerned authority under section 24 of  the  Uttar  Pradesh  Revenue  Code,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2006. Section 24 of the Code is extracted below :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“24. Disputes regarding boundaries.- (1) The Sub-Divisional Officer may,  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his own motion or on  an  application  made  in  this  behalf  by  a  person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interested, decide, by summary inquiry, any dispute regarding boundaries  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basis of existing survey map or, where the  same  is  not  possible,  in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accordance with  the  provisions  of  the  Uttar  Pradesh  Consolidation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Holdings Act, 1953, on the basis of such map.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(2) If in the course of an inquiry into a  dispute  under  sub-section  (1),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Sub-Divisional Officer is unable to satisfy himself as  to  which  party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is in possession or if it is shown that  possession  has  been  obtained  by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wrongful dispossession of the lawful occupant,  within  a  period  of  three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months  preceding  the  commencement  of  the  inquiry,  the  Sub-Divisional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Officer shall-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(a) in the first case, ascertain by summary inquiry who is the  person  best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entitled to the property, and shall put such person in possession.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(b) in the second case, put the person so dispossessed  in  possession,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for that purpose use or cause to be used such force as may be  necessary  an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shall then fix the boundary accordingly.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(3) Every proceeding under this  section  shall,  as  far  as  possible,  be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concluded by the Sub-Divisional Officer within six months from the  date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application.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(4) Any person aggrieved by the order  of  the  Sub-Divisional  Officer  may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prefer an appeal before the Commissioner within 30 days of the date of  such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order. The order of the Commissioner shall be final.”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corresponding provision in the U.P. Land Revenue Act, 1901  was  section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41.  The recourse to provision of the Adhiniyam of 1965 in  such  cases  was</w:t>
      </w:r>
    </w:p>
    <w:p w:rsid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not available.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30.   It was also submitted on behalf of the appellants that  the  agreement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which was entered into between the Trust and the Builder was required to  be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registered under the provisions of the Registration Act as  per  Section  17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read with section 49 of the Registration  Act  as  applicable  in  U.P.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section 3 read with section 54 of the TP Act. We decline  to  entertain  and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examine the submissions as it would not be proper to do so  in  the  present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proceedings and as effect of non-registration and validity  of  registration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made subsequently has been questioned in  Writ  Petition  [C]  No.38596/2013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pending consideration before the High Court of Allahabad. Thus,  it  is  for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the High Court to adjudicate upon the aforesaid questions.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31.   In view of the afore discussion, we allow the appeals, set  aside  the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judgment and order passed  by  the  Lucknow  Bench  of  the  High  Court  of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Allahabad, and dismiss the writ petition filed by the Builder  –  respondent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No.1 – with costs quantified at Rs.5 lakhs to be paid to the  Supreme  Court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Legal Services Committee, within a period of six weeks from today.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....................................CJI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     (H.L. Dattu)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....................................J.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 xml:space="preserve">                                       (S.A. Bobde)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New                                                                   Delhi;</w:t>
      </w:r>
    </w:p>
    <w:p w:rsidR="00ED0062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....................................J.</w:t>
      </w:r>
    </w:p>
    <w:p w:rsidR="009E65D7" w:rsidRPr="00ED0062" w:rsidRDefault="00ED0062" w:rsidP="00ED00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D0062">
        <w:rPr>
          <w:rFonts w:ascii="Times New Roman" w:hAnsi="Times New Roman" w:cs="Times New Roman"/>
          <w:sz w:val="25"/>
          <w:szCs w:val="25"/>
        </w:rPr>
        <w:t>May 15, 2015.                                (Arun Mishra)</w:t>
      </w:r>
    </w:p>
    <w:sectPr w:rsidR="009E65D7" w:rsidRPr="00ED006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A6" w:rsidRDefault="007664A6" w:rsidP="00607A95">
      <w:pPr>
        <w:spacing w:after="0" w:line="240" w:lineRule="auto"/>
      </w:pPr>
      <w:r>
        <w:separator/>
      </w:r>
    </w:p>
  </w:endnote>
  <w:endnote w:type="continuationSeparator" w:id="1">
    <w:p w:rsidR="007664A6" w:rsidRDefault="007664A6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664A6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A6" w:rsidRDefault="007664A6" w:rsidP="00607A95">
      <w:pPr>
        <w:spacing w:after="0" w:line="240" w:lineRule="auto"/>
      </w:pPr>
      <w:r>
        <w:separator/>
      </w:r>
    </w:p>
  </w:footnote>
  <w:footnote w:type="continuationSeparator" w:id="1">
    <w:p w:rsidR="007664A6" w:rsidRDefault="007664A6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664A6"/>
    <w:rsid w:val="007871DF"/>
    <w:rsid w:val="007B60F0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5A3D"/>
    <w:rsid w:val="008E451C"/>
    <w:rsid w:val="00934D73"/>
    <w:rsid w:val="00972E0A"/>
    <w:rsid w:val="009D183C"/>
    <w:rsid w:val="009E65D7"/>
    <w:rsid w:val="009F1CE9"/>
    <w:rsid w:val="009F5096"/>
    <w:rsid w:val="00A06561"/>
    <w:rsid w:val="00A30B2C"/>
    <w:rsid w:val="00A82D81"/>
    <w:rsid w:val="00A865BC"/>
    <w:rsid w:val="00A90860"/>
    <w:rsid w:val="00B03FDF"/>
    <w:rsid w:val="00B12CA5"/>
    <w:rsid w:val="00B4276B"/>
    <w:rsid w:val="00B51064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6968</Words>
  <Characters>39724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2016-05-04T06:13:00Z</dcterms:created>
  <dcterms:modified xsi:type="dcterms:W3CDTF">2016-05-04T06:13:00Z</dcterms:modified>
</cp:coreProperties>
</file>