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26" w:rsidRPr="00155C26" w:rsidRDefault="00155C26" w:rsidP="00155C26">
      <w:pPr>
        <w:spacing w:after="0" w:line="240" w:lineRule="auto"/>
        <w:jc w:val="center"/>
        <w:rPr>
          <w:rFonts w:ascii="Times New Roman" w:hAnsi="Times New Roman" w:cs="Times New Roman"/>
          <w:b/>
          <w:sz w:val="25"/>
          <w:szCs w:val="25"/>
        </w:rPr>
      </w:pPr>
      <w:r w:rsidRPr="00155C26">
        <w:rPr>
          <w:rFonts w:ascii="Times New Roman" w:hAnsi="Times New Roman" w:cs="Times New Roman"/>
          <w:b/>
          <w:sz w:val="25"/>
          <w:szCs w:val="25"/>
        </w:rPr>
        <w:t>SUPREME COURT OF INDIA</w:t>
      </w:r>
    </w:p>
    <w:p w:rsidR="00155C26" w:rsidRPr="00155C26" w:rsidRDefault="00155C26" w:rsidP="00155C26">
      <w:pPr>
        <w:spacing w:after="0" w:line="240" w:lineRule="auto"/>
        <w:jc w:val="center"/>
        <w:rPr>
          <w:rFonts w:ascii="Times New Roman" w:hAnsi="Times New Roman" w:cs="Times New Roman"/>
          <w:sz w:val="25"/>
          <w:szCs w:val="25"/>
        </w:rPr>
      </w:pPr>
    </w:p>
    <w:p w:rsidR="00155C26" w:rsidRDefault="00155C26" w:rsidP="00155C2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155C26">
        <w:rPr>
          <w:rFonts w:ascii="Times New Roman" w:hAnsi="Times New Roman" w:cs="Times New Roman"/>
          <w:sz w:val="25"/>
          <w:szCs w:val="25"/>
        </w:rPr>
        <w:t>Krishnakumar</w:t>
      </w:r>
    </w:p>
    <w:p w:rsidR="00155C26" w:rsidRDefault="00155C26" w:rsidP="00155C26">
      <w:pPr>
        <w:spacing w:after="0" w:line="240" w:lineRule="auto"/>
        <w:jc w:val="center"/>
        <w:rPr>
          <w:rFonts w:ascii="Times New Roman" w:hAnsi="Times New Roman" w:cs="Times New Roman"/>
          <w:sz w:val="25"/>
          <w:szCs w:val="25"/>
        </w:rPr>
      </w:pPr>
    </w:p>
    <w:p w:rsidR="00155C26" w:rsidRDefault="00155C26" w:rsidP="00155C2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55C26" w:rsidRPr="00155C26" w:rsidRDefault="00155C26" w:rsidP="00155C26">
      <w:pPr>
        <w:spacing w:after="0" w:line="240" w:lineRule="auto"/>
        <w:jc w:val="center"/>
        <w:rPr>
          <w:rFonts w:ascii="Times New Roman" w:hAnsi="Times New Roman" w:cs="Times New Roman"/>
          <w:sz w:val="25"/>
          <w:szCs w:val="25"/>
        </w:rPr>
      </w:pPr>
    </w:p>
    <w:p w:rsidR="00155C26" w:rsidRDefault="00155C26" w:rsidP="00155C2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w:t>
      </w:r>
      <w:r w:rsidRPr="00155C26">
        <w:rPr>
          <w:rFonts w:ascii="Times New Roman" w:hAnsi="Times New Roman" w:cs="Times New Roman"/>
          <w:sz w:val="25"/>
          <w:szCs w:val="25"/>
        </w:rPr>
        <w:t xml:space="preserve"> Tamil Nadu &amp; Ors.</w:t>
      </w:r>
    </w:p>
    <w:p w:rsidR="00155C26" w:rsidRDefault="00155C26" w:rsidP="00155C26">
      <w:pPr>
        <w:spacing w:after="0" w:line="240" w:lineRule="auto"/>
        <w:jc w:val="center"/>
        <w:rPr>
          <w:rFonts w:ascii="Times New Roman" w:hAnsi="Times New Roman" w:cs="Times New Roman"/>
          <w:sz w:val="25"/>
          <w:szCs w:val="25"/>
        </w:rPr>
      </w:pPr>
    </w:p>
    <w:p w:rsidR="00155C26" w:rsidRDefault="00155C26" w:rsidP="00155C2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C.A.No.8065 of</w:t>
      </w:r>
      <w:r w:rsidRPr="00155C26">
        <w:rPr>
          <w:rFonts w:ascii="Times New Roman" w:hAnsi="Times New Roman" w:cs="Times New Roman"/>
          <w:sz w:val="25"/>
          <w:szCs w:val="25"/>
        </w:rPr>
        <w:t xml:space="preserve"> 2009</w:t>
      </w:r>
    </w:p>
    <w:p w:rsidR="00155C26" w:rsidRDefault="00155C26" w:rsidP="00155C26">
      <w:pPr>
        <w:spacing w:after="0" w:line="240" w:lineRule="auto"/>
        <w:jc w:val="center"/>
        <w:rPr>
          <w:rFonts w:ascii="Times New Roman" w:hAnsi="Times New Roman" w:cs="Times New Roman"/>
          <w:sz w:val="25"/>
          <w:szCs w:val="25"/>
        </w:rPr>
      </w:pPr>
    </w:p>
    <w:p w:rsidR="00155C26" w:rsidRDefault="00155C26" w:rsidP="00155C2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S.A.Bobde,JJ.,)</w:t>
      </w:r>
    </w:p>
    <w:p w:rsidR="00155C26" w:rsidRDefault="00155C26" w:rsidP="00155C26">
      <w:pPr>
        <w:spacing w:after="0" w:line="240" w:lineRule="auto"/>
        <w:jc w:val="center"/>
        <w:rPr>
          <w:rFonts w:ascii="Times New Roman" w:hAnsi="Times New Roman" w:cs="Times New Roman"/>
          <w:sz w:val="25"/>
          <w:szCs w:val="25"/>
        </w:rPr>
      </w:pPr>
    </w:p>
    <w:p w:rsidR="00155C26" w:rsidRDefault="00155C26" w:rsidP="00155C2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155C26" w:rsidRPr="00155C26" w:rsidRDefault="00155C26" w:rsidP="00155C26">
      <w:pPr>
        <w:spacing w:after="0" w:line="240" w:lineRule="auto"/>
        <w:jc w:val="center"/>
        <w:rPr>
          <w:rFonts w:ascii="Times New Roman" w:hAnsi="Times New Roman" w:cs="Times New Roman"/>
          <w:sz w:val="25"/>
          <w:szCs w:val="25"/>
        </w:rPr>
      </w:pPr>
    </w:p>
    <w:p w:rsidR="00155C26" w:rsidRPr="00155C26" w:rsidRDefault="00155C26" w:rsidP="00155C26">
      <w:pPr>
        <w:spacing w:after="0" w:line="240" w:lineRule="auto"/>
        <w:jc w:val="center"/>
        <w:rPr>
          <w:rFonts w:ascii="Times New Roman" w:hAnsi="Times New Roman" w:cs="Times New Roman"/>
          <w:b/>
          <w:sz w:val="25"/>
          <w:szCs w:val="25"/>
        </w:rPr>
      </w:pPr>
      <w:r w:rsidRPr="00155C26">
        <w:rPr>
          <w:rFonts w:ascii="Times New Roman" w:hAnsi="Times New Roman" w:cs="Times New Roman"/>
          <w:b/>
          <w:sz w:val="25"/>
          <w:szCs w:val="25"/>
        </w:rPr>
        <w:t>JUDGMENT</w:t>
      </w:r>
    </w:p>
    <w:p w:rsidR="00155C26" w:rsidRPr="00155C26" w:rsidRDefault="00155C26" w:rsidP="00155C26">
      <w:pPr>
        <w:spacing w:after="0" w:line="240" w:lineRule="auto"/>
        <w:jc w:val="both"/>
        <w:rPr>
          <w:rFonts w:ascii="Times New Roman" w:hAnsi="Times New Roman" w:cs="Times New Roman"/>
          <w:b/>
          <w:sz w:val="25"/>
          <w:szCs w:val="25"/>
        </w:rPr>
      </w:pPr>
    </w:p>
    <w:p w:rsidR="00155C26" w:rsidRPr="00155C26" w:rsidRDefault="00155C26" w:rsidP="00155C26">
      <w:pPr>
        <w:spacing w:after="0" w:line="240" w:lineRule="auto"/>
        <w:jc w:val="both"/>
        <w:rPr>
          <w:rFonts w:ascii="Times New Roman" w:hAnsi="Times New Roman" w:cs="Times New Roman"/>
          <w:b/>
          <w:sz w:val="25"/>
          <w:szCs w:val="25"/>
        </w:rPr>
      </w:pPr>
      <w:r w:rsidRPr="00155C26">
        <w:rPr>
          <w:rFonts w:ascii="Times New Roman" w:hAnsi="Times New Roman" w:cs="Times New Roman"/>
          <w:b/>
          <w:sz w:val="25"/>
          <w:szCs w:val="25"/>
        </w:rPr>
        <w:t>S.A.Bobde,J.,</w:t>
      </w:r>
    </w:p>
    <w:p w:rsidR="00155C26" w:rsidRPr="00155C26" w:rsidRDefault="00155C26"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55C26">
        <w:rPr>
          <w:rFonts w:ascii="Times New Roman" w:hAnsi="Times New Roman" w:cs="Times New Roman"/>
          <w:sz w:val="25"/>
          <w:szCs w:val="25"/>
        </w:rPr>
        <w:t xml:space="preserve">These two Civil Appeals are preferred against the judgment of National Consumer Disputes Redressal Commission (hereinafter referred to as the 'NCDRC') rendering a finding of medical negligence against the State of Tamil Nadu, its Government Hospital and two Government Doctors and awarding a sum of Rs.5,00,000/- to V. Krishnakumar. Civil </w:t>
      </w:r>
      <w:r w:rsidR="00E36BC0">
        <w:rPr>
          <w:rFonts w:ascii="Times New Roman" w:hAnsi="Times New Roman" w:cs="Times New Roman"/>
          <w:sz w:val="25"/>
          <w:szCs w:val="25"/>
        </w:rPr>
        <w:t xml:space="preserve"> </w:t>
      </w:r>
      <w:r w:rsidRPr="00155C26">
        <w:rPr>
          <w:rFonts w:ascii="Times New Roman" w:hAnsi="Times New Roman" w:cs="Times New Roman"/>
          <w:sz w:val="25"/>
          <w:szCs w:val="25"/>
        </w:rPr>
        <w:t>Appeal No. 8065 of 2009 is preferred by V. Krishnakumar for enhancement of the amount of compensation. Civil Appeal No. 5402 of 2010 is preferred by the State of Tamil Nadu and another against the judgment of the NCDRC. As facts of both the appeals are same, we are disposing the appeals by this common judgment.</w:t>
      </w:r>
    </w:p>
    <w:p w:rsidR="00155C26" w:rsidRPr="00155C26" w:rsidRDefault="00155C26"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55C26">
        <w:rPr>
          <w:rFonts w:ascii="Times New Roman" w:hAnsi="Times New Roman" w:cs="Times New Roman"/>
          <w:sz w:val="25"/>
          <w:szCs w:val="25"/>
        </w:rPr>
        <w:t>On 30.8.1996, the appellant V. Krishankumar's wife Laxmi was admitted in Government Hospital for Women and Children, Egmore, Chennai (hereinafter referred to as the "Hospital"). Against the normal gestation period of 38 to 40 weeks, she delivered a premature female baby in the 29th week of pregnancy. The baby weighed only 1250 grams at birth. The infant was placed in an incubator in intensive care unit for about 25 days. The mother and the baby were discharged on 23.9.1996. A fact which is relevant to the issue is, that the baby was administered 90-100% oxygen at the time of birth and underwent blood exchange transfusion a week after birth. The baby had apneic spells during the first 10 days of her life. She was under the care of Respondent No.3 - Dr. S.Gopaul, Neo-paediatrician and Chief of Neo Natology Unit of the Hospital and Respondent No.4 - Dr. Duraiswamy of the Neo Natology Unit of the Hospital. The Respondent No.2 is the Director of the</w:t>
      </w:r>
      <w:r>
        <w:rPr>
          <w:rFonts w:ascii="Times New Roman" w:hAnsi="Times New Roman" w:cs="Times New Roman"/>
          <w:sz w:val="25"/>
          <w:szCs w:val="25"/>
        </w:rPr>
        <w:t xml:space="preserve"> </w:t>
      </w:r>
      <w:r w:rsidRPr="00155C26">
        <w:rPr>
          <w:rFonts w:ascii="Times New Roman" w:hAnsi="Times New Roman" w:cs="Times New Roman"/>
          <w:sz w:val="25"/>
          <w:szCs w:val="25"/>
        </w:rPr>
        <w:t>Hospital, which is established and run by the Respondent No.1 - State of Tamil Nadu under the Department of Health.</w:t>
      </w:r>
    </w:p>
    <w:p w:rsidR="00155C26" w:rsidRPr="00155C26" w:rsidRDefault="00155C26"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55C26">
        <w:rPr>
          <w:rFonts w:ascii="Times New Roman" w:hAnsi="Times New Roman" w:cs="Times New Roman"/>
          <w:sz w:val="25"/>
          <w:szCs w:val="25"/>
        </w:rPr>
        <w:t xml:space="preserve">The baby and the mother visited the hospital on 30.10.1996 at the chronological age of 9 weeks. Follow up treatment was administered at the home of the appellant by Respondent No.4, the Government Doctor, Dr. Duraiswamy during home visits. The baby was under his care from 4 weeks to 13 weeks of chronological age. Apparently, the only advice given by </w:t>
      </w:r>
      <w:r w:rsidRPr="00155C26">
        <w:rPr>
          <w:rFonts w:ascii="Times New Roman" w:hAnsi="Times New Roman" w:cs="Times New Roman"/>
          <w:sz w:val="25"/>
          <w:szCs w:val="25"/>
        </w:rPr>
        <w:lastRenderedPageBreak/>
        <w:t>Respondent No.4 was to keep the baby isolated and confined to the four walls of the sterile room so that she could be protected from infection. What was completely overlooked was a well known medical phenomenon that a premature baby who has been administered supplemental oxygen and has been given blood transfusion is prone to a higher risk of a disease known as the Retinopathy of Prematurity (hereinafter referred to as 'ROP'), which, in the usual course of advancement makes a child blind. The Respondent No.3, who was also a Government Doctor, checked up the baby at his private clinic at Purassaiwakkam, Chennai when the baby was 14-15 weeks of chronological age also did not suggest a check up for ROP.</w:t>
      </w:r>
    </w:p>
    <w:p w:rsidR="00155C26" w:rsidRPr="00155C26" w:rsidRDefault="00155C26"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55C26">
        <w:rPr>
          <w:rFonts w:ascii="Times New Roman" w:hAnsi="Times New Roman" w:cs="Times New Roman"/>
          <w:sz w:val="25"/>
          <w:szCs w:val="25"/>
        </w:rPr>
        <w:t>One thing is clear about the disease, and this was not contested by the learned counsel for the respondents, that the</w:t>
      </w:r>
      <w:r>
        <w:rPr>
          <w:rFonts w:ascii="Times New Roman" w:hAnsi="Times New Roman" w:cs="Times New Roman"/>
          <w:sz w:val="25"/>
          <w:szCs w:val="25"/>
        </w:rPr>
        <w:t xml:space="preserve"> </w:t>
      </w:r>
      <w:r w:rsidRPr="00155C26">
        <w:rPr>
          <w:rFonts w:ascii="Times New Roman" w:hAnsi="Times New Roman" w:cs="Times New Roman"/>
          <w:sz w:val="25"/>
          <w:szCs w:val="25"/>
        </w:rPr>
        <w:t>disease occurs in infants who are prematurely born and who</w:t>
      </w:r>
      <w:r>
        <w:rPr>
          <w:rFonts w:ascii="Times New Roman" w:hAnsi="Times New Roman" w:cs="Times New Roman"/>
          <w:sz w:val="25"/>
          <w:szCs w:val="25"/>
        </w:rPr>
        <w:t xml:space="preserve"> </w:t>
      </w:r>
      <w:r w:rsidRPr="00155C26">
        <w:rPr>
          <w:rFonts w:ascii="Times New Roman" w:hAnsi="Times New Roman" w:cs="Times New Roman"/>
          <w:sz w:val="25"/>
          <w:szCs w:val="25"/>
        </w:rPr>
        <w:t>have been administered oxygen and blood transfusion upon</w:t>
      </w:r>
      <w:r>
        <w:rPr>
          <w:rFonts w:ascii="Times New Roman" w:hAnsi="Times New Roman" w:cs="Times New Roman"/>
          <w:sz w:val="25"/>
          <w:szCs w:val="25"/>
        </w:rPr>
        <w:t xml:space="preserve"> </w:t>
      </w:r>
      <w:r w:rsidRPr="00155C26">
        <w:rPr>
          <w:rFonts w:ascii="Times New Roman" w:hAnsi="Times New Roman" w:cs="Times New Roman"/>
          <w:sz w:val="25"/>
          <w:szCs w:val="25"/>
        </w:rPr>
        <w:t>birth and further, that if detected early enough, it can be</w:t>
      </w:r>
      <w:r>
        <w:rPr>
          <w:rFonts w:ascii="Times New Roman" w:hAnsi="Times New Roman" w:cs="Times New Roman"/>
          <w:sz w:val="25"/>
          <w:szCs w:val="25"/>
        </w:rPr>
        <w:t xml:space="preserve"> </w:t>
      </w:r>
      <w:r w:rsidRPr="00155C26">
        <w:rPr>
          <w:rFonts w:ascii="Times New Roman" w:hAnsi="Times New Roman" w:cs="Times New Roman"/>
          <w:sz w:val="25"/>
          <w:szCs w:val="25"/>
        </w:rPr>
        <w:t>prevented. It is said that prematurity is one of the most</w:t>
      </w:r>
      <w:r>
        <w:rPr>
          <w:rFonts w:ascii="Times New Roman" w:hAnsi="Times New Roman" w:cs="Times New Roman"/>
          <w:sz w:val="25"/>
          <w:szCs w:val="25"/>
        </w:rPr>
        <w:t xml:space="preserve"> </w:t>
      </w:r>
      <w:r w:rsidRPr="00155C26">
        <w:rPr>
          <w:rFonts w:ascii="Times New Roman" w:hAnsi="Times New Roman" w:cs="Times New Roman"/>
          <w:sz w:val="25"/>
          <w:szCs w:val="25"/>
        </w:rPr>
        <w:t>common causes of blindness and is caused by an initial</w:t>
      </w:r>
      <w:r>
        <w:rPr>
          <w:rFonts w:ascii="Times New Roman" w:hAnsi="Times New Roman" w:cs="Times New Roman"/>
          <w:sz w:val="25"/>
          <w:szCs w:val="25"/>
        </w:rPr>
        <w:t xml:space="preserve"> </w:t>
      </w:r>
      <w:r w:rsidRPr="00155C26">
        <w:rPr>
          <w:rFonts w:ascii="Times New Roman" w:hAnsi="Times New Roman" w:cs="Times New Roman"/>
          <w:sz w:val="25"/>
          <w:szCs w:val="25"/>
        </w:rPr>
        <w:t>constriction and then rapid growth of blood vessels in the retina.</w:t>
      </w:r>
      <w:r>
        <w:rPr>
          <w:rFonts w:ascii="Times New Roman" w:hAnsi="Times New Roman" w:cs="Times New Roman"/>
          <w:sz w:val="25"/>
          <w:szCs w:val="25"/>
        </w:rPr>
        <w:t xml:space="preserve"> </w:t>
      </w:r>
      <w:r w:rsidRPr="00155C26">
        <w:rPr>
          <w:rFonts w:ascii="Times New Roman" w:hAnsi="Times New Roman" w:cs="Times New Roman"/>
          <w:sz w:val="25"/>
          <w:szCs w:val="25"/>
        </w:rPr>
        <w:t>When the blood vessels leak, they cause scarring. These scars</w:t>
      </w:r>
      <w:r>
        <w:rPr>
          <w:rFonts w:ascii="Times New Roman" w:hAnsi="Times New Roman" w:cs="Times New Roman"/>
          <w:sz w:val="25"/>
          <w:szCs w:val="25"/>
        </w:rPr>
        <w:t xml:space="preserve"> </w:t>
      </w:r>
      <w:r w:rsidRPr="00155C26">
        <w:rPr>
          <w:rFonts w:ascii="Times New Roman" w:hAnsi="Times New Roman" w:cs="Times New Roman"/>
          <w:sz w:val="25"/>
          <w:szCs w:val="25"/>
        </w:rPr>
        <w:t>can later shrink and pull on the retina, sometimes detaching it.</w:t>
      </w:r>
      <w:r>
        <w:rPr>
          <w:rFonts w:ascii="Times New Roman" w:hAnsi="Times New Roman" w:cs="Times New Roman"/>
          <w:sz w:val="25"/>
          <w:szCs w:val="25"/>
        </w:rPr>
        <w:t xml:space="preserve"> </w:t>
      </w:r>
      <w:r w:rsidRPr="00155C26">
        <w:rPr>
          <w:rFonts w:ascii="Times New Roman" w:hAnsi="Times New Roman" w:cs="Times New Roman"/>
          <w:sz w:val="25"/>
          <w:szCs w:val="25"/>
        </w:rPr>
        <w:t>The disease advances in severity through five stages - 1, 2, 3, 4</w:t>
      </w:r>
      <w:r>
        <w:rPr>
          <w:rFonts w:ascii="Times New Roman" w:hAnsi="Times New Roman" w:cs="Times New Roman"/>
          <w:sz w:val="25"/>
          <w:szCs w:val="25"/>
        </w:rPr>
        <w:t xml:space="preserve"> </w:t>
      </w:r>
      <w:r w:rsidRPr="00155C26">
        <w:rPr>
          <w:rFonts w:ascii="Times New Roman" w:hAnsi="Times New Roman" w:cs="Times New Roman"/>
          <w:sz w:val="25"/>
          <w:szCs w:val="25"/>
        </w:rPr>
        <w:t>and 5 (5 being terminal stage). Medical literature suggests that</w:t>
      </w:r>
      <w:r>
        <w:rPr>
          <w:rFonts w:ascii="Times New Roman" w:hAnsi="Times New Roman" w:cs="Times New Roman"/>
          <w:sz w:val="25"/>
          <w:szCs w:val="25"/>
        </w:rPr>
        <w:t xml:space="preserve"> </w:t>
      </w:r>
      <w:r w:rsidRPr="00155C26">
        <w:rPr>
          <w:rFonts w:ascii="Times New Roman" w:hAnsi="Times New Roman" w:cs="Times New Roman"/>
          <w:sz w:val="25"/>
          <w:szCs w:val="25"/>
        </w:rPr>
        <w:t>stage 3 can be treated by Laser or Cryotherapy treatment in</w:t>
      </w:r>
      <w:r>
        <w:rPr>
          <w:rFonts w:ascii="Times New Roman" w:hAnsi="Times New Roman" w:cs="Times New Roman"/>
          <w:sz w:val="25"/>
          <w:szCs w:val="25"/>
        </w:rPr>
        <w:t xml:space="preserve"> </w:t>
      </w:r>
      <w:r w:rsidRPr="00155C26">
        <w:rPr>
          <w:rFonts w:ascii="Times New Roman" w:hAnsi="Times New Roman" w:cs="Times New Roman"/>
          <w:sz w:val="25"/>
          <w:szCs w:val="25"/>
        </w:rPr>
        <w:t>order to eliminate the abnormal vessels. Even in stage 4, in</w:t>
      </w:r>
      <w:r>
        <w:rPr>
          <w:rFonts w:ascii="Times New Roman" w:hAnsi="Times New Roman" w:cs="Times New Roman"/>
          <w:sz w:val="25"/>
          <w:szCs w:val="25"/>
        </w:rPr>
        <w:t xml:space="preserve"> </w:t>
      </w:r>
      <w:r w:rsidRPr="00155C26">
        <w:rPr>
          <w:rFonts w:ascii="Times New Roman" w:hAnsi="Times New Roman" w:cs="Times New Roman"/>
          <w:sz w:val="25"/>
          <w:szCs w:val="25"/>
        </w:rPr>
        <w:t>some cases, the central retina or macula remains intact thereby</w:t>
      </w:r>
      <w:r>
        <w:rPr>
          <w:rFonts w:ascii="Times New Roman" w:hAnsi="Times New Roman" w:cs="Times New Roman"/>
          <w:sz w:val="25"/>
          <w:szCs w:val="25"/>
        </w:rPr>
        <w:t xml:space="preserve"> </w:t>
      </w:r>
      <w:r w:rsidRPr="00155C26">
        <w:rPr>
          <w:rFonts w:ascii="Times New Roman" w:hAnsi="Times New Roman" w:cs="Times New Roman"/>
          <w:sz w:val="25"/>
          <w:szCs w:val="25"/>
        </w:rPr>
        <w:t>keeping intact the central vision. When the disease is allowed to</w:t>
      </w:r>
      <w:r>
        <w:rPr>
          <w:rFonts w:ascii="Times New Roman" w:hAnsi="Times New Roman" w:cs="Times New Roman"/>
          <w:sz w:val="25"/>
          <w:szCs w:val="25"/>
        </w:rPr>
        <w:t xml:space="preserve"> </w:t>
      </w:r>
      <w:r w:rsidRPr="00155C26">
        <w:rPr>
          <w:rFonts w:ascii="Times New Roman" w:hAnsi="Times New Roman" w:cs="Times New Roman"/>
          <w:sz w:val="25"/>
          <w:szCs w:val="25"/>
        </w:rPr>
        <w:t>progress to stage 5, there is a total detachment and the retina</w:t>
      </w:r>
      <w:r>
        <w:rPr>
          <w:rFonts w:ascii="Times New Roman" w:hAnsi="Times New Roman" w:cs="Times New Roman"/>
          <w:sz w:val="25"/>
          <w:szCs w:val="25"/>
        </w:rPr>
        <w:t xml:space="preserve"> </w:t>
      </w:r>
      <w:r w:rsidRPr="00155C26">
        <w:rPr>
          <w:rFonts w:ascii="Times New Roman" w:hAnsi="Times New Roman" w:cs="Times New Roman"/>
          <w:sz w:val="25"/>
          <w:szCs w:val="25"/>
        </w:rPr>
        <w:t>becomes funnel shaped leading to blindness. There is ample</w:t>
      </w:r>
      <w:r>
        <w:rPr>
          <w:rFonts w:ascii="Times New Roman" w:hAnsi="Times New Roman" w:cs="Times New Roman"/>
          <w:sz w:val="25"/>
          <w:szCs w:val="25"/>
        </w:rPr>
        <w:t xml:space="preserve"> </w:t>
      </w:r>
      <w:r w:rsidRPr="00155C26">
        <w:rPr>
          <w:rFonts w:ascii="Times New Roman" w:hAnsi="Times New Roman" w:cs="Times New Roman"/>
          <w:sz w:val="25"/>
          <w:szCs w:val="25"/>
        </w:rPr>
        <w:t>medical literature on the subject. It is, however, not necessary</w:t>
      </w:r>
      <w:r>
        <w:rPr>
          <w:rFonts w:ascii="Times New Roman" w:hAnsi="Times New Roman" w:cs="Times New Roman"/>
          <w:sz w:val="25"/>
          <w:szCs w:val="25"/>
        </w:rPr>
        <w:t xml:space="preserve"> </w:t>
      </w:r>
      <w:r w:rsidRPr="00155C26">
        <w:rPr>
          <w:rFonts w:ascii="Times New Roman" w:hAnsi="Times New Roman" w:cs="Times New Roman"/>
          <w:sz w:val="25"/>
          <w:szCs w:val="25"/>
        </w:rPr>
        <w:t>to refer all of it. Some material relevant to the need for check</w:t>
      </w:r>
      <w:r>
        <w:rPr>
          <w:rFonts w:ascii="Times New Roman" w:hAnsi="Times New Roman" w:cs="Times New Roman"/>
          <w:sz w:val="25"/>
          <w:szCs w:val="25"/>
        </w:rPr>
        <w:t xml:space="preserve"> </w:t>
      </w:r>
      <w:r w:rsidRPr="00155C26">
        <w:rPr>
          <w:rFonts w:ascii="Times New Roman" w:hAnsi="Times New Roman" w:cs="Times New Roman"/>
          <w:sz w:val="25"/>
          <w:szCs w:val="25"/>
        </w:rPr>
        <w:t>up for ROP for an infant is:</w:t>
      </w:r>
    </w:p>
    <w:p w:rsidR="00155C26" w:rsidRPr="00155C26" w:rsidRDefault="00155C26" w:rsidP="00155C26">
      <w:pPr>
        <w:spacing w:after="0" w:line="240" w:lineRule="auto"/>
        <w:jc w:val="both"/>
        <w:rPr>
          <w:rFonts w:ascii="Times New Roman" w:hAnsi="Times New Roman" w:cs="Times New Roman"/>
          <w:sz w:val="25"/>
          <w:szCs w:val="25"/>
        </w:rPr>
      </w:pPr>
    </w:p>
    <w:p w:rsidR="00155C26" w:rsidRDefault="00155C26" w:rsidP="00AC6D19">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"All infants with a birth weight less than 1500 gms or gestational age less than 32 weeks are required to be screened for ROP.</w:t>
      </w:r>
      <w:r w:rsidR="00AC6D19">
        <w:rPr>
          <w:rFonts w:ascii="Times New Roman" w:hAnsi="Times New Roman" w:cs="Times New Roman"/>
          <w:sz w:val="25"/>
          <w:szCs w:val="25"/>
        </w:rPr>
        <w:t>”</w:t>
      </w:r>
      <w:r w:rsidR="00AC6D19" w:rsidRPr="00AC6D19">
        <w:rPr>
          <w:rFonts w:ascii="Times New Roman" w:hAnsi="Times New Roman" w:cs="Times New Roman"/>
          <w:sz w:val="20"/>
          <w:szCs w:val="20"/>
          <w:vertAlign w:val="superscript"/>
        </w:rPr>
        <w:t>1</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Applying either parameter, whether weight or gestational age, the child ought to have been screened. As stated earlier, the child was 1250 gms at birth and born after 29 weeks of pregnancy, thus making her a high risk candidate for ROP.</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155C26" w:rsidRPr="00155C26">
        <w:rPr>
          <w:rFonts w:ascii="Times New Roman" w:hAnsi="Times New Roman" w:cs="Times New Roman"/>
          <w:sz w:val="25"/>
          <w:szCs w:val="25"/>
        </w:rPr>
        <w:t xml:space="preserve"> It is undisputed that the relationship of birth weight and gestational age to ROP as reproduced in NCDRC's order is as follows:</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155C26" w:rsidP="00AC6D19">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"Most ROP is seen in very low-birth weight infants, and the incidence is inversely related to birth weight and gestational age. About 70-80% of infants with birth weight less than 1000 gms show acute changes, whereas above 1500 gms birth weight the frequency falls to less than 10%."</w:t>
      </w:r>
    </w:p>
    <w:p w:rsidR="00AC6D19" w:rsidRPr="00155C26" w:rsidRDefault="00AC6D19" w:rsidP="00155C26">
      <w:pPr>
        <w:spacing w:after="0" w:line="240" w:lineRule="auto"/>
        <w:jc w:val="both"/>
        <w:rPr>
          <w:rFonts w:ascii="Times New Roman" w:hAnsi="Times New Roman" w:cs="Times New Roman"/>
          <w:sz w:val="25"/>
          <w:szCs w:val="25"/>
        </w:rPr>
      </w:pPr>
    </w:p>
    <w:p w:rsidR="00AC6D19"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55C26" w:rsidRPr="00155C26">
        <w:rPr>
          <w:rFonts w:ascii="Times New Roman" w:hAnsi="Times New Roman" w:cs="Times New Roman"/>
          <w:sz w:val="25"/>
          <w:szCs w:val="25"/>
        </w:rPr>
        <w:t xml:space="preserve">Again, it seems that the child in question was clearly not in the category where the frequency was less than 10% since the baby was below 1500 gms. In fact, it is observed by the NCDRC in its order that the discipline of medicine reveals that all infants who had </w:t>
      </w:r>
    </w:p>
    <w:p w:rsidR="00AC6D19" w:rsidRDefault="00AC6D19" w:rsidP="00155C26">
      <w:pPr>
        <w:spacing w:after="0" w:line="240" w:lineRule="auto"/>
        <w:jc w:val="both"/>
        <w:rPr>
          <w:rFonts w:ascii="Times New Roman" w:hAnsi="Times New Roman" w:cs="Times New Roman"/>
          <w:sz w:val="25"/>
          <w:szCs w:val="25"/>
        </w:rPr>
      </w:pPr>
    </w:p>
    <w:p w:rsidR="00AC6D19" w:rsidRPr="00AC6D19" w:rsidRDefault="00AC6D19" w:rsidP="00AC6D19">
      <w:pPr>
        <w:spacing w:after="0" w:line="240" w:lineRule="auto"/>
        <w:jc w:val="both"/>
        <w:rPr>
          <w:rFonts w:ascii="Times New Roman" w:hAnsi="Times New Roman" w:cs="Times New Roman"/>
          <w:b/>
          <w:i/>
          <w:sz w:val="25"/>
          <w:szCs w:val="25"/>
        </w:rPr>
      </w:pPr>
      <w:r w:rsidRPr="00AC6D19">
        <w:rPr>
          <w:rFonts w:ascii="Times New Roman" w:hAnsi="Times New Roman" w:cs="Times New Roman"/>
          <w:b/>
          <w:i/>
          <w:noProof/>
          <w:sz w:val="20"/>
          <w:szCs w:val="20"/>
          <w:vertAlign w:val="superscript"/>
        </w:rPr>
        <w:pict>
          <v:shapetype id="_x0000_t32" coordsize="21600,21600" o:spt="32" o:oned="t" path="m,l21600,21600e" filled="f">
            <v:path arrowok="t" fillok="f" o:connecttype="none"/>
            <o:lock v:ext="edit" shapetype="t"/>
          </v:shapetype>
          <v:shape id="_x0000_s1027" type="#_x0000_t32" style="position:absolute;left:0;text-align:left;margin-left:1.5pt;margin-top:-.05pt;width:453.75pt;height:0;z-index:251658240" o:connectortype="straight"/>
        </w:pict>
      </w:r>
      <w:r w:rsidRPr="00AC6D19">
        <w:rPr>
          <w:rFonts w:ascii="Times New Roman" w:hAnsi="Times New Roman" w:cs="Times New Roman"/>
          <w:b/>
          <w:i/>
          <w:sz w:val="20"/>
          <w:szCs w:val="20"/>
          <w:vertAlign w:val="superscript"/>
        </w:rPr>
        <w:t>1</w:t>
      </w:r>
      <w:r w:rsidRPr="00AC6D19">
        <w:rPr>
          <w:rFonts w:ascii="Times New Roman" w:hAnsi="Times New Roman" w:cs="Times New Roman"/>
          <w:b/>
          <w:i/>
          <w:sz w:val="25"/>
          <w:szCs w:val="25"/>
        </w:rPr>
        <w:t xml:space="preserve">AIIMS Report dated 21.8.2007 </w:t>
      </w:r>
    </w:p>
    <w:p w:rsidR="00AC6D19" w:rsidRDefault="00AC6D19"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undergone less than 29 weeks of gestation or weigh less than 1300 gms should be examined regardless of whether they have been administered oxygen or not. It is further observed that ROP is a visually devastative disease that often can be treated successfully if it is diagnosed in time.</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155C26" w:rsidRPr="00155C26">
        <w:rPr>
          <w:rFonts w:ascii="Times New Roman" w:hAnsi="Times New Roman" w:cs="Times New Roman"/>
          <w:sz w:val="25"/>
          <w:szCs w:val="25"/>
        </w:rPr>
        <w:t>The need for a medical check up for the infant in</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question was not seriously disputed by the respondents.</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155C26" w:rsidRPr="00155C26">
        <w:rPr>
          <w:rFonts w:ascii="Times New Roman" w:hAnsi="Times New Roman" w:cs="Times New Roman"/>
          <w:sz w:val="25"/>
          <w:szCs w:val="25"/>
        </w:rPr>
        <w:t xml:space="preserve"> The main defence of the respondents to the complaint of negligence against the appellant's claim for compensation was that at the time of delivery and management, no deformities were manifested and the complainant was given proper advice, which was not followed. It was argued on behalf of the respondent that they had taken sufficient precautions, even against ROP by mentioning in the discharge summary as follows:</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155C26" w:rsidP="00AC6D19">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"Mother confident; Informed about alarm signs; 1) to continue breast feeding 2) To attend post natal O.P. on Tuesday."</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155C26" w:rsidRPr="00155C26">
        <w:rPr>
          <w:rFonts w:ascii="Times New Roman" w:hAnsi="Times New Roman" w:cs="Times New Roman"/>
          <w:sz w:val="25"/>
          <w:szCs w:val="25"/>
        </w:rPr>
        <w:t xml:space="preserve"> It must, however, be noted that the discharge summary shows that the above writing was in the nature of a scrawl in the corner of the discharge summary and we are in agreement with the finding of the NCDRC that the said remarks are only a hastily written general warning and nothing more. After a stay of 25 days in the hospital, it was for the hospital to give a clear indication as to what was to be done regarding all possible dangers which a baby in these circumstances faces. It is obvious that it did not occur to the respondents to advise the appellant that the baby is required to be seen by a paediatric ophthalmologist since there was a possibility of occurrence of ROP to avert permanent blindness. This discharge summary neither discloses a warning to the infant's parents that the infant might develop ROP against which certain precautions must be taken, nor any signs that the Doctors were themselves cautious of the dangers of development of ROP. We are not prepared to infer from 'Informed about alarms signs' that the parents were cautioned about ROP in this case. We find it unfortunate that the respondents at one stage took a stand that the appellant did not follow up properly by not attending on a Tuesday but claiming that the mother attended on a Wednesday and even contesting the fact that she attended on a Wednesday. It appears like a desperate attempt to cover up the gross negligence in not examining the child for the onset of ROP, which is a standard precaution for a well known condition in such a case. In fact, it is not disputed that the Respondent No.3 attended to and examined the baby at his private clinic when the baby was 14-15 weeks and even then did not take any step to investigate into the onset of ROP. The Respondent No.4 also visited the appellant to check up the baby at the home of the appellant and there are prescriptions issued by the said Respondent No.4, which suggests that the baby was indeed under his care from 4 weeks to 13 weeks.</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155C26" w:rsidRPr="00155C26">
        <w:rPr>
          <w:rFonts w:ascii="Times New Roman" w:hAnsi="Times New Roman" w:cs="Times New Roman"/>
          <w:sz w:val="25"/>
          <w:szCs w:val="25"/>
        </w:rPr>
        <w:t>The NCDRC has relied on the report dated 21.8.2007 of</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the All India Institute of Medical Sciences, New Delhi</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(hereinafter referred to as 'AIIMS'). In pursuance of the order</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of the NCDRC, a medical board was constituted by AIIMS</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consisting of five members, of which, four are ophthalmological</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specialists. The board has given the following opinion:-</w:t>
      </w:r>
    </w:p>
    <w:p w:rsidR="00AC6D19" w:rsidRPr="00155C26" w:rsidRDefault="00AC6D19" w:rsidP="00AC6D19">
      <w:pPr>
        <w:spacing w:after="0" w:line="240" w:lineRule="auto"/>
        <w:ind w:left="720"/>
        <w:jc w:val="both"/>
        <w:rPr>
          <w:rFonts w:ascii="Times New Roman" w:hAnsi="Times New Roman" w:cs="Times New Roman"/>
          <w:sz w:val="25"/>
          <w:szCs w:val="25"/>
        </w:rPr>
      </w:pPr>
    </w:p>
    <w:p w:rsidR="00155C26" w:rsidRDefault="00155C26" w:rsidP="00AC6D19">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"A premature infant is not born with Retinopathy of Prematurity (ROP), the retina though immature is normal for this age. The ROP usually starts developing 2-4 weeks after birth when it is mandatory to do the first screening of the child. The current guidelines are to examine and screen the babies with birth weight&lt;1500g and &lt;32 weeks gestational age, starting at 31 weeks post-conceptional age (PAC) or 4 weeks after birth whichever is later. Around a decade ago, the guidelines in general were the same and the premature babies were first examined at 31-33 weeks post-conceptional age or 2-6 weeks after birth.</w:t>
      </w:r>
      <w:r w:rsidR="00AC6D19">
        <w:rPr>
          <w:rFonts w:ascii="Times New Roman" w:hAnsi="Times New Roman" w:cs="Times New Roman"/>
          <w:sz w:val="25"/>
          <w:szCs w:val="25"/>
        </w:rPr>
        <w:t xml:space="preserve"> </w:t>
      </w:r>
      <w:r w:rsidRPr="00155C26">
        <w:rPr>
          <w:rFonts w:ascii="Times New Roman" w:hAnsi="Times New Roman" w:cs="Times New Roman"/>
          <w:sz w:val="25"/>
          <w:szCs w:val="25"/>
        </w:rPr>
        <w:t>There is a general agreement on these above guidelines on a national and international level. The attached annexure explains some authoritative resources and guidelines published in national and international literature especially over the last decade.</w:t>
      </w:r>
      <w:r w:rsidR="00AC6D19">
        <w:rPr>
          <w:rFonts w:ascii="Times New Roman" w:hAnsi="Times New Roman" w:cs="Times New Roman"/>
          <w:sz w:val="25"/>
          <w:szCs w:val="25"/>
        </w:rPr>
        <w:t xml:space="preserve"> </w:t>
      </w:r>
      <w:r w:rsidRPr="00155C26">
        <w:rPr>
          <w:rFonts w:ascii="Times New Roman" w:hAnsi="Times New Roman" w:cs="Times New Roman"/>
          <w:sz w:val="25"/>
          <w:szCs w:val="25"/>
        </w:rPr>
        <w:t>However, in spite of ongoing interest world over in screening and management of ROP and advancing knowledge, it may not be possible to exactly predict which premature baby will develop ROP and to what extent and why."</w:t>
      </w:r>
    </w:p>
    <w:p w:rsidR="00AC6D19" w:rsidRDefault="00AC6D19" w:rsidP="00AC6D19">
      <w:pPr>
        <w:spacing w:after="0" w:line="240" w:lineRule="auto"/>
        <w:ind w:left="720"/>
        <w:jc w:val="both"/>
        <w:rPr>
          <w:rFonts w:ascii="Times New Roman" w:hAnsi="Times New Roman" w:cs="Times New Roman"/>
          <w:sz w:val="25"/>
          <w:szCs w:val="25"/>
        </w:rPr>
      </w:pP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155C26" w:rsidP="00AC6D19">
      <w:pPr>
        <w:spacing w:after="0" w:line="240" w:lineRule="auto"/>
        <w:jc w:val="center"/>
        <w:rPr>
          <w:rFonts w:ascii="Times New Roman" w:hAnsi="Times New Roman" w:cs="Times New Roman"/>
          <w:b/>
          <w:sz w:val="25"/>
          <w:szCs w:val="25"/>
        </w:rPr>
      </w:pPr>
      <w:r w:rsidRPr="00AC6D19">
        <w:rPr>
          <w:rFonts w:ascii="Times New Roman" w:hAnsi="Times New Roman" w:cs="Times New Roman"/>
          <w:b/>
          <w:sz w:val="25"/>
          <w:szCs w:val="25"/>
        </w:rPr>
        <w:t>Review of literature of ROP screening guidelines</w:t>
      </w:r>
    </w:p>
    <w:tbl>
      <w:tblPr>
        <w:tblStyle w:val="TableGrid"/>
        <w:tblW w:w="0" w:type="auto"/>
        <w:tblLook w:val="04A0"/>
      </w:tblPr>
      <w:tblGrid>
        <w:gridCol w:w="1008"/>
        <w:gridCol w:w="2790"/>
        <w:gridCol w:w="3384"/>
        <w:gridCol w:w="2394"/>
      </w:tblGrid>
      <w:tr w:rsidR="00AC6D19" w:rsidTr="00AC6D19">
        <w:tc>
          <w:tcPr>
            <w:tcW w:w="1008" w:type="dxa"/>
          </w:tcPr>
          <w:p w:rsidR="00AC6D19" w:rsidRDefault="00AC6D19" w:rsidP="00AC6D19">
            <w:pPr>
              <w:jc w:val="center"/>
              <w:rPr>
                <w:rFonts w:ascii="Times New Roman" w:hAnsi="Times New Roman" w:cs="Times New Roman"/>
                <w:b/>
                <w:sz w:val="25"/>
                <w:szCs w:val="25"/>
              </w:rPr>
            </w:pPr>
            <w:r>
              <w:rPr>
                <w:rFonts w:ascii="Times New Roman" w:hAnsi="Times New Roman" w:cs="Times New Roman"/>
                <w:b/>
                <w:sz w:val="25"/>
                <w:szCs w:val="25"/>
              </w:rPr>
              <w:t>Year</w:t>
            </w:r>
          </w:p>
        </w:tc>
        <w:tc>
          <w:tcPr>
            <w:tcW w:w="2790" w:type="dxa"/>
          </w:tcPr>
          <w:p w:rsidR="00AC6D19" w:rsidRDefault="00AC6D19" w:rsidP="00AC6D19">
            <w:pPr>
              <w:jc w:val="center"/>
              <w:rPr>
                <w:rFonts w:ascii="Times New Roman" w:hAnsi="Times New Roman" w:cs="Times New Roman"/>
                <w:b/>
                <w:sz w:val="25"/>
                <w:szCs w:val="25"/>
              </w:rPr>
            </w:pPr>
            <w:r>
              <w:rPr>
                <w:rFonts w:ascii="Times New Roman" w:hAnsi="Times New Roman" w:cs="Times New Roman"/>
                <w:b/>
                <w:sz w:val="25"/>
                <w:szCs w:val="25"/>
              </w:rPr>
              <w:t>Souce</w:t>
            </w:r>
          </w:p>
        </w:tc>
        <w:tc>
          <w:tcPr>
            <w:tcW w:w="3384" w:type="dxa"/>
          </w:tcPr>
          <w:p w:rsidR="00AC6D19" w:rsidRDefault="00AC6D19" w:rsidP="00AC6D19">
            <w:pPr>
              <w:jc w:val="center"/>
              <w:rPr>
                <w:rFonts w:ascii="Times New Roman" w:hAnsi="Times New Roman" w:cs="Times New Roman"/>
                <w:b/>
                <w:sz w:val="25"/>
                <w:szCs w:val="25"/>
              </w:rPr>
            </w:pPr>
            <w:r>
              <w:rPr>
                <w:rFonts w:ascii="Times New Roman" w:hAnsi="Times New Roman" w:cs="Times New Roman"/>
                <w:b/>
                <w:sz w:val="25"/>
                <w:szCs w:val="25"/>
              </w:rPr>
              <w:t xml:space="preserve">First Screening </w:t>
            </w:r>
          </w:p>
        </w:tc>
        <w:tc>
          <w:tcPr>
            <w:tcW w:w="2394" w:type="dxa"/>
          </w:tcPr>
          <w:p w:rsidR="00AC6D19" w:rsidRDefault="00AC6D19" w:rsidP="00AC6D19">
            <w:pPr>
              <w:jc w:val="center"/>
              <w:rPr>
                <w:rFonts w:ascii="Times New Roman" w:hAnsi="Times New Roman" w:cs="Times New Roman"/>
                <w:b/>
                <w:sz w:val="25"/>
                <w:szCs w:val="25"/>
              </w:rPr>
            </w:pPr>
            <w:r>
              <w:rPr>
                <w:rFonts w:ascii="Times New Roman" w:hAnsi="Times New Roman" w:cs="Times New Roman"/>
                <w:b/>
                <w:sz w:val="25"/>
                <w:szCs w:val="25"/>
              </w:rPr>
              <w:t>Who to screen</w:t>
            </w:r>
          </w:p>
        </w:tc>
      </w:tr>
      <w:tr w:rsidR="00AC6D19" w:rsidTr="00AC6D19">
        <w:tc>
          <w:tcPr>
            <w:tcW w:w="1008" w:type="dxa"/>
          </w:tcPr>
          <w:p w:rsidR="00AC6D19" w:rsidRPr="00AC6D19" w:rsidRDefault="00AC6D19" w:rsidP="00AC6D19">
            <w:pPr>
              <w:jc w:val="center"/>
              <w:rPr>
                <w:rFonts w:ascii="Times New Roman" w:hAnsi="Times New Roman" w:cs="Times New Roman"/>
                <w:sz w:val="25"/>
                <w:szCs w:val="25"/>
              </w:rPr>
            </w:pPr>
            <w:r w:rsidRPr="00AC6D19">
              <w:rPr>
                <w:rFonts w:ascii="Times New Roman" w:hAnsi="Times New Roman" w:cs="Times New Roman"/>
                <w:sz w:val="25"/>
                <w:szCs w:val="25"/>
              </w:rPr>
              <w:t>2006</w:t>
            </w:r>
          </w:p>
        </w:tc>
        <w:tc>
          <w:tcPr>
            <w:tcW w:w="2790"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American Academy of Pediatrics et al.</w:t>
            </w:r>
          </w:p>
        </w:tc>
        <w:tc>
          <w:tcPr>
            <w:tcW w:w="3384"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31 wks PCA or 4 wks after birth whichever later</w:t>
            </w:r>
            <w:r>
              <w:rPr>
                <w:rFonts w:ascii="Times New Roman" w:hAnsi="Times New Roman" w:cs="Times New Roman"/>
                <w:sz w:val="25"/>
                <w:szCs w:val="25"/>
              </w:rPr>
              <w:t xml:space="preserve"> </w:t>
            </w:r>
            <w:r w:rsidRPr="00155C26">
              <w:rPr>
                <w:rFonts w:ascii="Times New Roman" w:hAnsi="Times New Roman" w:cs="Times New Roman"/>
                <w:sz w:val="25"/>
                <w:szCs w:val="25"/>
              </w:rPr>
              <w:tab/>
            </w:r>
          </w:p>
        </w:tc>
        <w:tc>
          <w:tcPr>
            <w:tcW w:w="2394"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&lt;1500gms birth weight or &lt;32 wks GA or higher</w:t>
            </w:r>
          </w:p>
        </w:tc>
      </w:tr>
      <w:tr w:rsidR="00AC6D19" w:rsidTr="00AC6D19">
        <w:tc>
          <w:tcPr>
            <w:tcW w:w="1008" w:type="dxa"/>
          </w:tcPr>
          <w:p w:rsidR="00AC6D19" w:rsidRPr="00155C26" w:rsidRDefault="00AC6D19" w:rsidP="00AC6D19">
            <w:pPr>
              <w:jc w:val="both"/>
              <w:rPr>
                <w:rFonts w:ascii="Times New Roman" w:hAnsi="Times New Roman" w:cs="Times New Roman"/>
                <w:sz w:val="25"/>
                <w:szCs w:val="25"/>
              </w:rPr>
            </w:pPr>
            <w:r w:rsidRPr="00155C26">
              <w:rPr>
                <w:rFonts w:ascii="Times New Roman" w:hAnsi="Times New Roman" w:cs="Times New Roman"/>
                <w:sz w:val="25"/>
                <w:szCs w:val="25"/>
              </w:rPr>
              <w:tab/>
            </w:r>
          </w:p>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2003</w:t>
            </w:r>
            <w:r w:rsidRPr="00155C26">
              <w:rPr>
                <w:rFonts w:ascii="Times New Roman" w:hAnsi="Times New Roman" w:cs="Times New Roman"/>
                <w:sz w:val="25"/>
                <w:szCs w:val="25"/>
              </w:rPr>
              <w:tab/>
            </w:r>
          </w:p>
        </w:tc>
        <w:tc>
          <w:tcPr>
            <w:tcW w:w="2790"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Jalali S et al. Indian J Ophthalmology</w:t>
            </w:r>
          </w:p>
        </w:tc>
        <w:tc>
          <w:tcPr>
            <w:tcW w:w="3384"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31 wks PCA or 3-4 wks after birth whichever earlier</w:t>
            </w:r>
          </w:p>
        </w:tc>
        <w:tc>
          <w:tcPr>
            <w:tcW w:w="2394" w:type="dxa"/>
          </w:tcPr>
          <w:p w:rsidR="00AC6D19" w:rsidRPr="00155C26" w:rsidRDefault="00AC6D19" w:rsidP="00AC6D19">
            <w:pPr>
              <w:jc w:val="both"/>
              <w:rPr>
                <w:rFonts w:ascii="Times New Roman" w:hAnsi="Times New Roman" w:cs="Times New Roman"/>
                <w:sz w:val="25"/>
                <w:szCs w:val="25"/>
              </w:rPr>
            </w:pPr>
            <w:r w:rsidRPr="00155C26">
              <w:rPr>
                <w:rFonts w:ascii="Times New Roman" w:hAnsi="Times New Roman" w:cs="Times New Roman"/>
                <w:sz w:val="25"/>
                <w:szCs w:val="25"/>
              </w:rPr>
              <w:t>&lt;1500g birth weight or &lt;32 wks GA or higher</w:t>
            </w:r>
          </w:p>
          <w:p w:rsidR="00AC6D19" w:rsidRDefault="00AC6D19" w:rsidP="00AC6D19">
            <w:pPr>
              <w:jc w:val="center"/>
              <w:rPr>
                <w:rFonts w:ascii="Times New Roman" w:hAnsi="Times New Roman" w:cs="Times New Roman"/>
                <w:b/>
                <w:sz w:val="25"/>
                <w:szCs w:val="25"/>
              </w:rPr>
            </w:pPr>
          </w:p>
        </w:tc>
      </w:tr>
      <w:tr w:rsidR="00AC6D19" w:rsidTr="00AC6D19">
        <w:tc>
          <w:tcPr>
            <w:tcW w:w="1008"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2003</w:t>
            </w:r>
          </w:p>
        </w:tc>
        <w:tc>
          <w:tcPr>
            <w:tcW w:w="2790"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Azad et al. JIMA</w:t>
            </w:r>
          </w:p>
        </w:tc>
        <w:tc>
          <w:tcPr>
            <w:tcW w:w="3384"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32 wks PCA or 4-5 wks after birth- whichever earlier</w:t>
            </w:r>
          </w:p>
        </w:tc>
        <w:tc>
          <w:tcPr>
            <w:tcW w:w="2394" w:type="dxa"/>
          </w:tcPr>
          <w:p w:rsidR="00AC6D19" w:rsidRDefault="00AC6D19" w:rsidP="00AC6D19">
            <w:pPr>
              <w:jc w:val="center"/>
              <w:rPr>
                <w:rFonts w:ascii="Times New Roman" w:hAnsi="Times New Roman" w:cs="Times New Roman"/>
                <w:b/>
                <w:sz w:val="25"/>
                <w:szCs w:val="25"/>
              </w:rPr>
            </w:pPr>
            <w:r w:rsidRPr="00155C26">
              <w:rPr>
                <w:rFonts w:ascii="Times New Roman" w:hAnsi="Times New Roman" w:cs="Times New Roman"/>
                <w:sz w:val="25"/>
                <w:szCs w:val="25"/>
              </w:rPr>
              <w:t>&lt;1500g birth weight or &lt;32 wks GA or higher</w:t>
            </w:r>
          </w:p>
        </w:tc>
      </w:tr>
      <w:tr w:rsidR="00AC6D19" w:rsidTr="00AC6D19">
        <w:tc>
          <w:tcPr>
            <w:tcW w:w="1008"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2002</w:t>
            </w:r>
            <w:r w:rsidRPr="00155C26">
              <w:rPr>
                <w:rFonts w:ascii="Times New Roman" w:hAnsi="Times New Roman" w:cs="Times New Roman"/>
                <w:sz w:val="25"/>
                <w:szCs w:val="25"/>
              </w:rPr>
              <w:tab/>
            </w:r>
          </w:p>
        </w:tc>
        <w:tc>
          <w:tcPr>
            <w:tcW w:w="2790"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Aggarwal R et. Al Indian J. Pediatrics</w:t>
            </w:r>
          </w:p>
        </w:tc>
        <w:tc>
          <w:tcPr>
            <w:tcW w:w="3384"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32 wks PCA or 4-6 wks after birth whichever earlier</w:t>
            </w:r>
            <w:r w:rsidRPr="00155C26">
              <w:rPr>
                <w:rFonts w:ascii="Times New Roman" w:hAnsi="Times New Roman" w:cs="Times New Roman"/>
                <w:sz w:val="25"/>
                <w:szCs w:val="25"/>
              </w:rPr>
              <w:tab/>
            </w:r>
          </w:p>
        </w:tc>
        <w:tc>
          <w:tcPr>
            <w:tcW w:w="2394" w:type="dxa"/>
          </w:tcPr>
          <w:p w:rsidR="00AC6D19" w:rsidRPr="00155C26" w:rsidRDefault="00AC6D19" w:rsidP="00AC6D19">
            <w:pPr>
              <w:jc w:val="both"/>
              <w:rPr>
                <w:rFonts w:ascii="Times New Roman" w:hAnsi="Times New Roman" w:cs="Times New Roman"/>
                <w:sz w:val="25"/>
                <w:szCs w:val="25"/>
              </w:rPr>
            </w:pPr>
            <w:r w:rsidRPr="00155C26">
              <w:rPr>
                <w:rFonts w:ascii="Times New Roman" w:hAnsi="Times New Roman" w:cs="Times New Roman"/>
                <w:sz w:val="25"/>
                <w:szCs w:val="25"/>
              </w:rPr>
              <w:t>&lt;1500 gm birth weight or &lt;32 wks GA</w:t>
            </w:r>
          </w:p>
          <w:p w:rsidR="00AC6D19" w:rsidRPr="00155C26" w:rsidRDefault="00AC6D19" w:rsidP="00AC6D19">
            <w:pPr>
              <w:jc w:val="center"/>
              <w:rPr>
                <w:rFonts w:ascii="Times New Roman" w:hAnsi="Times New Roman" w:cs="Times New Roman"/>
                <w:sz w:val="25"/>
                <w:szCs w:val="25"/>
              </w:rPr>
            </w:pPr>
          </w:p>
        </w:tc>
      </w:tr>
      <w:tr w:rsidR="00AC6D19" w:rsidTr="00AC6D19">
        <w:tc>
          <w:tcPr>
            <w:tcW w:w="1008"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1997</w:t>
            </w:r>
            <w:r w:rsidRPr="00155C26">
              <w:rPr>
                <w:rFonts w:ascii="Times New Roman" w:hAnsi="Times New Roman" w:cs="Times New Roman"/>
                <w:sz w:val="25"/>
                <w:szCs w:val="25"/>
              </w:rPr>
              <w:tab/>
            </w:r>
          </w:p>
        </w:tc>
        <w:tc>
          <w:tcPr>
            <w:tcW w:w="2790"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American Academy of Paediatrics et al.</w:t>
            </w:r>
          </w:p>
        </w:tc>
        <w:tc>
          <w:tcPr>
            <w:tcW w:w="3384"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31-33 wks PCA or 4-6 wks after birth</w:t>
            </w:r>
          </w:p>
        </w:tc>
        <w:tc>
          <w:tcPr>
            <w:tcW w:w="2394"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&lt;1500 gm birth weight or &lt;28 wks GA or higher</w:t>
            </w:r>
          </w:p>
        </w:tc>
      </w:tr>
      <w:tr w:rsidR="00AC6D19" w:rsidTr="00AC6D19">
        <w:tc>
          <w:tcPr>
            <w:tcW w:w="1008"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1996</w:t>
            </w:r>
            <w:r w:rsidRPr="00155C26">
              <w:rPr>
                <w:rFonts w:ascii="Times New Roman" w:hAnsi="Times New Roman" w:cs="Times New Roman"/>
                <w:sz w:val="25"/>
                <w:szCs w:val="25"/>
              </w:rPr>
              <w:tab/>
            </w:r>
          </w:p>
        </w:tc>
        <w:tc>
          <w:tcPr>
            <w:tcW w:w="2790"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Maheshwari R et al. National Med. J. India</w:t>
            </w:r>
          </w:p>
        </w:tc>
        <w:tc>
          <w:tcPr>
            <w:tcW w:w="3384"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32 wks PCA or 2 wks after birth whichever is earlier</w:t>
            </w:r>
          </w:p>
        </w:tc>
        <w:tc>
          <w:tcPr>
            <w:tcW w:w="2394" w:type="dxa"/>
          </w:tcPr>
          <w:p w:rsidR="00AC6D19" w:rsidRPr="00155C26" w:rsidRDefault="00AC6D19" w:rsidP="00AC6D19">
            <w:pPr>
              <w:jc w:val="both"/>
              <w:rPr>
                <w:rFonts w:ascii="Times New Roman" w:hAnsi="Times New Roman" w:cs="Times New Roman"/>
                <w:sz w:val="25"/>
                <w:szCs w:val="25"/>
              </w:rPr>
            </w:pPr>
            <w:r w:rsidRPr="00155C26">
              <w:rPr>
                <w:rFonts w:ascii="Times New Roman" w:hAnsi="Times New Roman" w:cs="Times New Roman"/>
                <w:sz w:val="25"/>
                <w:szCs w:val="25"/>
              </w:rPr>
              <w:t>&lt;1500 gm birth weight or &lt;35 wks GA or 02&gt;24 hrs</w:t>
            </w:r>
          </w:p>
          <w:p w:rsidR="00AC6D19" w:rsidRPr="00155C26" w:rsidRDefault="00AC6D19" w:rsidP="00AC6D19">
            <w:pPr>
              <w:jc w:val="center"/>
              <w:rPr>
                <w:rFonts w:ascii="Times New Roman" w:hAnsi="Times New Roman" w:cs="Times New Roman"/>
                <w:sz w:val="25"/>
                <w:szCs w:val="25"/>
              </w:rPr>
            </w:pPr>
          </w:p>
        </w:tc>
      </w:tr>
      <w:tr w:rsidR="00AC6D19" w:rsidTr="00AC6D19">
        <w:tc>
          <w:tcPr>
            <w:tcW w:w="1008"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1988</w:t>
            </w:r>
          </w:p>
        </w:tc>
        <w:tc>
          <w:tcPr>
            <w:tcW w:w="2790"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Cryotherapy ROP Group</w:t>
            </w:r>
          </w:p>
        </w:tc>
        <w:tc>
          <w:tcPr>
            <w:tcW w:w="3384" w:type="dxa"/>
          </w:tcPr>
          <w:p w:rsidR="00AC6D19" w:rsidRPr="00155C26" w:rsidRDefault="00AC6D19" w:rsidP="00AC6D19">
            <w:pPr>
              <w:jc w:val="center"/>
              <w:rPr>
                <w:rFonts w:ascii="Times New Roman" w:hAnsi="Times New Roman" w:cs="Times New Roman"/>
                <w:sz w:val="25"/>
                <w:szCs w:val="25"/>
              </w:rPr>
            </w:pPr>
            <w:r w:rsidRPr="00155C26">
              <w:rPr>
                <w:rFonts w:ascii="Times New Roman" w:hAnsi="Times New Roman" w:cs="Times New Roman"/>
                <w:sz w:val="25"/>
                <w:szCs w:val="25"/>
              </w:rPr>
              <w:t>4-6 wks after birth</w:t>
            </w:r>
            <w:r w:rsidRPr="00155C26">
              <w:rPr>
                <w:rFonts w:ascii="Times New Roman" w:hAnsi="Times New Roman" w:cs="Times New Roman"/>
                <w:sz w:val="25"/>
                <w:szCs w:val="25"/>
              </w:rPr>
              <w:tab/>
            </w:r>
          </w:p>
        </w:tc>
        <w:tc>
          <w:tcPr>
            <w:tcW w:w="2394" w:type="dxa"/>
          </w:tcPr>
          <w:p w:rsidR="00AC6D19" w:rsidRPr="00155C26" w:rsidRDefault="00AC6D19" w:rsidP="00AC6D19">
            <w:pPr>
              <w:jc w:val="both"/>
              <w:rPr>
                <w:rFonts w:ascii="Times New Roman" w:hAnsi="Times New Roman" w:cs="Times New Roman"/>
                <w:sz w:val="25"/>
                <w:szCs w:val="25"/>
              </w:rPr>
            </w:pPr>
            <w:r w:rsidRPr="00155C26">
              <w:rPr>
                <w:rFonts w:ascii="Times New Roman" w:hAnsi="Times New Roman" w:cs="Times New Roman"/>
                <w:sz w:val="25"/>
                <w:szCs w:val="25"/>
              </w:rPr>
              <w:t>&lt;1250 gms birth weight</w:t>
            </w:r>
          </w:p>
          <w:p w:rsidR="00AC6D19" w:rsidRPr="00155C26" w:rsidRDefault="00AC6D19" w:rsidP="00AC6D19">
            <w:pPr>
              <w:jc w:val="center"/>
              <w:rPr>
                <w:rFonts w:ascii="Times New Roman" w:hAnsi="Times New Roman" w:cs="Times New Roman"/>
                <w:sz w:val="25"/>
                <w:szCs w:val="25"/>
              </w:rPr>
            </w:pPr>
          </w:p>
        </w:tc>
      </w:tr>
    </w:tbl>
    <w:p w:rsidR="00AC6D19" w:rsidRPr="00AC6D19" w:rsidRDefault="00AC6D19" w:rsidP="00AC6D19">
      <w:pPr>
        <w:spacing w:after="0" w:line="240" w:lineRule="auto"/>
        <w:jc w:val="center"/>
        <w:rPr>
          <w:rFonts w:ascii="Times New Roman" w:hAnsi="Times New Roman" w:cs="Times New Roman"/>
          <w:b/>
          <w:sz w:val="25"/>
          <w:szCs w:val="25"/>
        </w:rPr>
      </w:pPr>
    </w:p>
    <w:p w:rsidR="00155C26" w:rsidRP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lastRenderedPageBreak/>
        <w:tab/>
      </w:r>
      <w:r w:rsidRPr="00155C26">
        <w:rPr>
          <w:rFonts w:ascii="Times New Roman" w:hAnsi="Times New Roman" w:cs="Times New Roman"/>
          <w:sz w:val="25"/>
          <w:szCs w:val="25"/>
        </w:rPr>
        <w:tab/>
      </w:r>
      <w:r w:rsidRPr="00155C26">
        <w:rPr>
          <w:rFonts w:ascii="Times New Roman" w:hAnsi="Times New Roman" w:cs="Times New Roman"/>
          <w:sz w:val="25"/>
          <w:szCs w:val="25"/>
        </w:rPr>
        <w:tab/>
      </w:r>
      <w:r w:rsidRPr="00155C26">
        <w:rPr>
          <w:rFonts w:ascii="Times New Roman" w:hAnsi="Times New Roman" w:cs="Times New Roman"/>
          <w:sz w:val="25"/>
          <w:szCs w:val="25"/>
        </w:rPr>
        <w:tab/>
      </w:r>
      <w:r w:rsidRPr="00155C26">
        <w:rPr>
          <w:rFonts w:ascii="Times New Roman" w:hAnsi="Times New Roman" w:cs="Times New Roman"/>
          <w:sz w:val="25"/>
          <w:szCs w:val="25"/>
        </w:rPr>
        <w:tab/>
      </w:r>
    </w:p>
    <w:p w:rsidR="00155C26" w:rsidRP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ab/>
      </w:r>
      <w:r w:rsidRPr="00155C26">
        <w:rPr>
          <w:rFonts w:ascii="Times New Roman" w:hAnsi="Times New Roman" w:cs="Times New Roman"/>
          <w:sz w:val="25"/>
          <w:szCs w:val="25"/>
        </w:rPr>
        <w:tab/>
      </w:r>
      <w:r w:rsidRPr="00155C26">
        <w:rPr>
          <w:rFonts w:ascii="Times New Roman" w:hAnsi="Times New Roman" w:cs="Times New Roman"/>
          <w:sz w:val="25"/>
          <w:szCs w:val="25"/>
        </w:rPr>
        <w:tab/>
      </w: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One thing this report reveals clearly and that is that in the present case the onset of ROP was reasonably foreseeable. We say this because it is well known that if a particular danger</w:t>
      </w:r>
      <w:r w:rsidR="00AC6D19">
        <w:rPr>
          <w:rFonts w:ascii="Times New Roman" w:hAnsi="Times New Roman" w:cs="Times New Roman"/>
          <w:sz w:val="25"/>
          <w:szCs w:val="25"/>
        </w:rPr>
        <w:t xml:space="preserve"> </w:t>
      </w:r>
      <w:r w:rsidRPr="00155C26">
        <w:rPr>
          <w:rFonts w:ascii="Times New Roman" w:hAnsi="Times New Roman" w:cs="Times New Roman"/>
          <w:sz w:val="25"/>
          <w:szCs w:val="25"/>
        </w:rPr>
        <w:t xml:space="preserve">could not reasonably have been anticipated it cannot be said that a person has acted negligently, because a reasonable man does not take precautions against unforeseeable circumstances. Though it was fairly suggested to the contrary on behalf of the respondents, there is nothing to indicate that the disease of ROP and its occurrence was not known to the medical profession in the year 1996. This is important because whether the consequences were foreseeable or not must be measured with reference to knowledge at the date of the alleged negligence, not with hindsight. We are thus satisfied that we are not looking at the 1996 accident with 2007 </w:t>
      </w:r>
      <w:r w:rsidRPr="00AC6D19">
        <w:rPr>
          <w:rFonts w:ascii="Times New Roman" w:hAnsi="Times New Roman" w:cs="Times New Roman"/>
          <w:b/>
          <w:i/>
          <w:sz w:val="25"/>
          <w:szCs w:val="25"/>
        </w:rPr>
        <w:t xml:space="preserve">spectacles. </w:t>
      </w:r>
      <w:r w:rsidR="00AC6D19" w:rsidRPr="00AC6D19">
        <w:rPr>
          <w:rFonts w:ascii="Times New Roman" w:hAnsi="Times New Roman" w:cs="Times New Roman"/>
          <w:b/>
          <w:i/>
          <w:sz w:val="20"/>
          <w:szCs w:val="20"/>
          <w:vertAlign w:val="superscript"/>
        </w:rPr>
        <w:t>2</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155C26" w:rsidRPr="00155C26">
        <w:rPr>
          <w:rFonts w:ascii="Times New Roman" w:hAnsi="Times New Roman" w:cs="Times New Roman"/>
          <w:sz w:val="25"/>
          <w:szCs w:val="25"/>
        </w:rPr>
        <w:t>It is obvious from the report that ROP starts developing 2 to 4 weeks after birth when it is mandatory to do the first screening of the child. The baby in question was admitted for a period of 25 days and there was no reason why the mandatory screening, which is an accepted practice, was not done. The report of the AIIMS (supra) states that 'it may not be possible to exactly predict which premature baby will develop ROP and to what extent and why'. This in our view underscores the need for a check up in all such cases. In fact, the screening was</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never done. There is no evidence whatsoever to suggest to the contrary. It appears from the evidence that the ROP was discovered when the appellant went to Mumbai for a personal matter and took his daughter to a paediatrician, Dr. Rajiv Khamdar for giving DPT shots when she was 41/2 months. That Doctor, suspected ROP on an examination with naked eye even without knowing the baby's history. But, obviously Respondent Nos.3 and 4 the Doctors entrusted with the care of the child did not detect any such thing at any time. The helpless parents, after detection got the baby's eyes checked by having the baby examined by several doctors at several places. Traumatised and shocked, they rushed to Puttaparthy for the blessings of Shri Satya Sai Baba and the baby was anesthetically examined by Dr. Deepak Khosla, Consultant, Department of Ophthalmology at Baba Super Specialty Hospital at Puttaparthy. Dr. Khosla did not take up the case since the ROP had reached stage 5. After coming back from Puttaparthy, the baby was examined by Dr. Tarun Sharma alongwith the retinal team of Shankar Netralaya, who were also of the same opinion. The parents apparently took the baby to Dr. Namperumal Swamy of Arvind Hospital, Madurai, who advised against surgery, stating that the baby's condition was unfavourable for surgery. The appellant then learnt of Dr. Michael Tresse, a renowned expert in Retinopathy treatment for babies in the United States. He obtained a reference from Dr. Badrinath, chief of Shankar Netralaya and took his only child to the United States hoping for some ray of light. The appellant incurred enormous expenses for surgery in the United States but to no avail.</w:t>
      </w:r>
    </w:p>
    <w:p w:rsidR="00AC6D19" w:rsidRPr="00155C26" w:rsidRDefault="00AC6D19" w:rsidP="00155C26">
      <w:pPr>
        <w:spacing w:after="0" w:line="240" w:lineRule="auto"/>
        <w:jc w:val="both"/>
        <w:rPr>
          <w:rFonts w:ascii="Times New Roman" w:hAnsi="Times New Roman" w:cs="Times New Roman"/>
          <w:sz w:val="25"/>
          <w:szCs w:val="25"/>
        </w:rPr>
      </w:pPr>
    </w:p>
    <w:p w:rsidR="00AC6D19"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155C26" w:rsidRPr="00155C26">
        <w:rPr>
          <w:rFonts w:ascii="Times New Roman" w:hAnsi="Times New Roman" w:cs="Times New Roman"/>
          <w:sz w:val="25"/>
          <w:szCs w:val="25"/>
        </w:rPr>
        <w:t xml:space="preserve"> Having given our anxious consideration to the matter, we find that no fault can be found with the findings of the NCDRC which has given an unequivocal finding that at no stage, the </w:t>
      </w:r>
    </w:p>
    <w:p w:rsidR="00AC6D19"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8" type="#_x0000_t32" style="position:absolute;left:0;text-align:left;margin-left:-2.25pt;margin-top:3.95pt;width:474pt;height:0;z-index:251659264" o:connectortype="straight"/>
        </w:pict>
      </w:r>
    </w:p>
    <w:p w:rsidR="00AC6D19" w:rsidRPr="00AC6D19" w:rsidRDefault="00AC6D19" w:rsidP="00AC6D19">
      <w:pPr>
        <w:autoSpaceDE w:val="0"/>
        <w:autoSpaceDN w:val="0"/>
        <w:adjustRightInd w:val="0"/>
        <w:spacing w:after="0" w:line="240" w:lineRule="auto"/>
        <w:rPr>
          <w:rFonts w:ascii="Times New Roman" w:hAnsi="Times New Roman" w:cs="Times New Roman"/>
          <w:b/>
        </w:rPr>
      </w:pPr>
      <w:r w:rsidRPr="00AC6D19">
        <w:rPr>
          <w:rFonts w:ascii="Times New Roman" w:hAnsi="Times New Roman" w:cs="Times New Roman"/>
          <w:b/>
          <w:vertAlign w:val="superscript"/>
        </w:rPr>
        <w:t>2</w:t>
      </w:r>
      <w:r w:rsidRPr="00AC6D19">
        <w:rPr>
          <w:rFonts w:ascii="Times New Roman" w:hAnsi="Times New Roman" w:cs="Times New Roman"/>
          <w:b/>
        </w:rPr>
        <w:t xml:space="preserve"> See </w:t>
      </w:r>
      <w:r w:rsidRPr="00AC6D19">
        <w:rPr>
          <w:rFonts w:ascii="Times New Roman" w:hAnsi="Times New Roman" w:cs="Times New Roman"/>
          <w:b/>
          <w:i/>
          <w:iCs/>
        </w:rPr>
        <w:t xml:space="preserve">Roe </w:t>
      </w:r>
      <w:r w:rsidRPr="00AC6D19">
        <w:rPr>
          <w:rFonts w:ascii="Times New Roman" w:hAnsi="Times New Roman" w:cs="Times New Roman"/>
          <w:b/>
        </w:rPr>
        <w:t>v</w:t>
      </w:r>
      <w:r w:rsidRPr="00AC6D19">
        <w:rPr>
          <w:rFonts w:ascii="Times New Roman" w:hAnsi="Times New Roman" w:cs="Times New Roman"/>
          <w:b/>
          <w:i/>
          <w:iCs/>
        </w:rPr>
        <w:t xml:space="preserve">. Minister of Health </w:t>
      </w:r>
      <w:r w:rsidRPr="00AC6D19">
        <w:rPr>
          <w:rFonts w:ascii="Times New Roman" w:hAnsi="Times New Roman" w:cs="Times New Roman"/>
          <w:b/>
        </w:rPr>
        <w:t>[1954] 2 QB 66 and the discussion in ‘Medical Negligence’, Michael Jones, 4th Edition, Sweet &amp; Maxwell, London 2008 at page 270.</w:t>
      </w:r>
    </w:p>
    <w:p w:rsidR="00AC6D19"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lastRenderedPageBreak/>
        <w:t xml:space="preserve">appellant was warned or told about the possibility of occurrence of ROP by the respondents even though it was their duty to do so. Neither did they explain anywhere in their affidavit that they warned of the possibility of the occurrence of ROP knowing fully well that the chances of such occurrence existed and that this constituted a gross deficiency in service, nor did they refer to a paediatric ophthalmologist. Further it may be noted that Respondent Nos. 3 &amp; 4 have not appealed to this Court against the judgment of the NCDRC and have thus accepted the finding of medical negligence against them. </w:t>
      </w:r>
    </w:p>
    <w:p w:rsidR="00AC6D19" w:rsidRDefault="00AC6D19" w:rsidP="00155C26">
      <w:pPr>
        <w:spacing w:after="0" w:line="240" w:lineRule="auto"/>
        <w:jc w:val="both"/>
        <w:rPr>
          <w:rFonts w:ascii="Times New Roman" w:hAnsi="Times New Roman" w:cs="Times New Roman"/>
          <w:sz w:val="25"/>
          <w:szCs w:val="25"/>
        </w:rPr>
      </w:pPr>
    </w:p>
    <w:p w:rsidR="00155C26" w:rsidRPr="00AC6D19" w:rsidRDefault="00155C26" w:rsidP="00AC6D19">
      <w:pPr>
        <w:spacing w:after="0" w:line="240" w:lineRule="auto"/>
        <w:rPr>
          <w:rFonts w:ascii="Times New Roman" w:hAnsi="Times New Roman" w:cs="Times New Roman"/>
          <w:b/>
          <w:sz w:val="25"/>
          <w:szCs w:val="25"/>
          <w:u w:val="single"/>
        </w:rPr>
      </w:pPr>
      <w:r w:rsidRPr="00AC6D19">
        <w:rPr>
          <w:rFonts w:ascii="Times New Roman" w:hAnsi="Times New Roman" w:cs="Times New Roman"/>
          <w:b/>
          <w:sz w:val="25"/>
          <w:szCs w:val="25"/>
          <w:u w:val="single"/>
        </w:rPr>
        <w:t>Deficiency in Service</w:t>
      </w:r>
      <w:r w:rsidR="00AC6D19" w:rsidRPr="00AC6D19">
        <w:rPr>
          <w:rFonts w:ascii="Times New Roman" w:hAnsi="Times New Roman" w:cs="Times New Roman"/>
          <w:b/>
          <w:sz w:val="25"/>
          <w:szCs w:val="25"/>
          <w:u w:val="single"/>
        </w:rPr>
        <w:t>.</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155C26" w:rsidRPr="00155C26">
        <w:rPr>
          <w:rFonts w:ascii="Times New Roman" w:hAnsi="Times New Roman" w:cs="Times New Roman"/>
          <w:sz w:val="25"/>
          <w:szCs w:val="25"/>
        </w:rPr>
        <w:t xml:space="preserve"> In the circumstances, we agree with the findings of the NCDRC that the respondents were negligent in their duty and were deficient in their services in not screening the child between 2 to 4 weeks after birth when it is mandatory to do so and especially since the child was under their care. Thus, the negligence began under the supervision of the Hospital i.e. Respondent No.2. The Respondent Nos. 3 and 4, who checked the baby at his private clinic and at the appellant's home, respectively, were also negligent in not advising screening for ROP. It is pertinent to note that Respondent Nos. 3 and 4 carried on their own private practice while being in the employment of Respondent No. 2, which was a violation of their terms of service.</w:t>
      </w:r>
    </w:p>
    <w:p w:rsidR="00AC6D19" w:rsidRPr="00155C26" w:rsidRDefault="00AC6D19" w:rsidP="00155C26">
      <w:pPr>
        <w:spacing w:after="0" w:line="240" w:lineRule="auto"/>
        <w:jc w:val="both"/>
        <w:rPr>
          <w:rFonts w:ascii="Times New Roman" w:hAnsi="Times New Roman" w:cs="Times New Roman"/>
          <w:sz w:val="25"/>
          <w:szCs w:val="25"/>
        </w:rPr>
      </w:pPr>
    </w:p>
    <w:p w:rsidR="00155C26" w:rsidRPr="00AC6D19" w:rsidRDefault="00155C26" w:rsidP="00155C26">
      <w:pPr>
        <w:spacing w:after="0" w:line="240" w:lineRule="auto"/>
        <w:jc w:val="both"/>
        <w:rPr>
          <w:rFonts w:ascii="Times New Roman" w:hAnsi="Times New Roman" w:cs="Times New Roman"/>
          <w:b/>
          <w:sz w:val="25"/>
          <w:szCs w:val="25"/>
        </w:rPr>
      </w:pPr>
      <w:r w:rsidRPr="00AC6D19">
        <w:rPr>
          <w:rFonts w:ascii="Times New Roman" w:hAnsi="Times New Roman" w:cs="Times New Roman"/>
          <w:b/>
          <w:sz w:val="25"/>
          <w:szCs w:val="25"/>
        </w:rPr>
        <w:t>Compensation</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155C26" w:rsidRPr="00155C26">
        <w:rPr>
          <w:rFonts w:ascii="Times New Roman" w:hAnsi="Times New Roman" w:cs="Times New Roman"/>
          <w:sz w:val="25"/>
          <w:szCs w:val="25"/>
        </w:rPr>
        <w:t>The next question that falls for consideration is the compensation which the respondents are liable to pay for their negligence and deficiency in service. The child called Sharanya has been rendered blind for life. The darkness in her life can never be really compensated for in money terms. Blindness can have terrible consequences. Though, Sharanya may have parents now, there is no doubt that she will not have that protection and care forever. The family belongs to the middle class and it is necessary for the father to attend to his work. Undoubtedly, the mother would not be able to take Sharanya out everywhere and is bound to leave the child alone for reasonable spells of time. During this time, it is obvious that she would require help and maybe later on in life she would have to totally rely on such help. It is therefore difficult to imagine unhindered marriage prospects or even a regular career which she may have otherwise pursued with ease. She may also face great difficulties in getting education. The parents have already incurred heavy expenditure on the treatment of Sharanya to no avail. It is, thus, obvious that there should be adequate compensation for the expenses already incurred, the pain and suffering, lost wages and the future care that would be necessary while accounting for inflationary trends.</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155C26" w:rsidRPr="00155C26">
        <w:rPr>
          <w:rFonts w:ascii="Times New Roman" w:hAnsi="Times New Roman" w:cs="Times New Roman"/>
          <w:sz w:val="25"/>
          <w:szCs w:val="25"/>
        </w:rPr>
        <w:t xml:space="preserve"> There is no doubt that in the future Sharanya would require further medical attention and would have to incur costs on medicines and possible surgery. It can be reasonably said that the blindness has put Sharanya at a great disadvantage in her pursuit for making a good living to care for herself.</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16.</w:t>
      </w:r>
      <w:r w:rsidR="00155C26" w:rsidRPr="00155C26">
        <w:rPr>
          <w:rFonts w:ascii="Times New Roman" w:hAnsi="Times New Roman" w:cs="Times New Roman"/>
          <w:sz w:val="25"/>
          <w:szCs w:val="25"/>
        </w:rPr>
        <w:t xml:space="preserve"> At the outset, it may be noted that in such cases, this court has ruled out the computation of compensation according to the multiplier method. (See </w:t>
      </w:r>
      <w:r w:rsidR="00155C26" w:rsidRPr="00AC6D19">
        <w:rPr>
          <w:rFonts w:ascii="Times New Roman" w:hAnsi="Times New Roman" w:cs="Times New Roman"/>
          <w:i/>
          <w:sz w:val="25"/>
          <w:szCs w:val="25"/>
        </w:rPr>
        <w:t>Balram Prasad vs. Kunal Saha</w:t>
      </w:r>
      <w:r>
        <w:rPr>
          <w:rFonts w:ascii="Times New Roman" w:hAnsi="Times New Roman" w:cs="Times New Roman"/>
          <w:i/>
          <w:sz w:val="20"/>
          <w:szCs w:val="20"/>
          <w:vertAlign w:val="superscript"/>
        </w:rPr>
        <w:t>3</w:t>
      </w:r>
      <w:r w:rsidR="00155C26" w:rsidRPr="00AC6D19">
        <w:rPr>
          <w:rFonts w:ascii="Times New Roman" w:hAnsi="Times New Roman" w:cs="Times New Roman"/>
          <w:i/>
          <w:sz w:val="25"/>
          <w:szCs w:val="25"/>
        </w:rPr>
        <w:t>, and Nizam's Institute of Medical Sciences vs. Prashant S. Dhananka and Others,</w:t>
      </w:r>
      <w:r w:rsidRPr="00AC6D19">
        <w:rPr>
          <w:rFonts w:ascii="Times New Roman" w:hAnsi="Times New Roman" w:cs="Times New Roman"/>
          <w:i/>
          <w:sz w:val="20"/>
          <w:szCs w:val="20"/>
          <w:vertAlign w:val="superscript"/>
        </w:rPr>
        <w:t>4</w:t>
      </w:r>
      <w:r w:rsidR="00155C26" w:rsidRPr="00AC6D19">
        <w:rPr>
          <w:rFonts w:ascii="Times New Roman" w:hAnsi="Times New Roman" w:cs="Times New Roman"/>
          <w:i/>
          <w:sz w:val="25"/>
          <w:szCs w:val="25"/>
        </w:rPr>
        <w:t>.</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The court rightly warned against the straightjacket approach of using the multiplier method for calculating damages in medical negligence cases.</w:t>
      </w:r>
    </w:p>
    <w:p w:rsidR="00AC6D19" w:rsidRPr="00155C26" w:rsidRDefault="00AC6D19" w:rsidP="00155C26">
      <w:pPr>
        <w:spacing w:after="0" w:line="240" w:lineRule="auto"/>
        <w:jc w:val="both"/>
        <w:rPr>
          <w:rFonts w:ascii="Times New Roman" w:hAnsi="Times New Roman" w:cs="Times New Roman"/>
          <w:sz w:val="25"/>
          <w:szCs w:val="25"/>
        </w:rPr>
      </w:pPr>
    </w:p>
    <w:p w:rsidR="00155C26" w:rsidRPr="00AC6D19" w:rsidRDefault="00155C26" w:rsidP="00155C26">
      <w:pPr>
        <w:spacing w:after="0" w:line="240" w:lineRule="auto"/>
        <w:jc w:val="both"/>
        <w:rPr>
          <w:rFonts w:ascii="Times New Roman" w:hAnsi="Times New Roman" w:cs="Times New Roman"/>
          <w:b/>
          <w:sz w:val="25"/>
          <w:szCs w:val="25"/>
        </w:rPr>
      </w:pPr>
      <w:r w:rsidRPr="00AC6D19">
        <w:rPr>
          <w:rFonts w:ascii="Times New Roman" w:hAnsi="Times New Roman" w:cs="Times New Roman"/>
          <w:b/>
          <w:sz w:val="25"/>
          <w:szCs w:val="25"/>
        </w:rPr>
        <w:t>Quantification of Compensation</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AC6D19"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155C26" w:rsidRPr="00155C26">
        <w:rPr>
          <w:rFonts w:ascii="Times New Roman" w:hAnsi="Times New Roman" w:cs="Times New Roman"/>
          <w:sz w:val="25"/>
          <w:szCs w:val="25"/>
        </w:rPr>
        <w:t xml:space="preserve">The principle of awarding compensation that can be safely relied on is restitutio in integrum. This principle has been recognized and relied on in </w:t>
      </w:r>
      <w:r w:rsidR="00155C26" w:rsidRPr="00AC6D19">
        <w:rPr>
          <w:rFonts w:ascii="Times New Roman" w:hAnsi="Times New Roman" w:cs="Times New Roman"/>
          <w:i/>
          <w:sz w:val="25"/>
          <w:szCs w:val="25"/>
        </w:rPr>
        <w:t>Malay Kumar Ganguly vs. Sukumar Mukherjee</w:t>
      </w:r>
      <w:r w:rsidRPr="00AC6D19">
        <w:rPr>
          <w:rFonts w:ascii="Times New Roman" w:hAnsi="Times New Roman" w:cs="Times New Roman"/>
          <w:i/>
          <w:sz w:val="20"/>
          <w:szCs w:val="20"/>
          <w:vertAlign w:val="superscript"/>
        </w:rPr>
        <w:t>5</w:t>
      </w:r>
      <w:r w:rsidR="00155C26" w:rsidRPr="00AC6D19">
        <w:rPr>
          <w:rFonts w:ascii="Times New Roman" w:hAnsi="Times New Roman" w:cs="Times New Roman"/>
          <w:i/>
          <w:sz w:val="25"/>
          <w:szCs w:val="25"/>
        </w:rPr>
        <w:t xml:space="preserve">, </w:t>
      </w:r>
      <w:r w:rsidR="00155C26" w:rsidRPr="00155C26">
        <w:rPr>
          <w:rFonts w:ascii="Times New Roman" w:hAnsi="Times New Roman" w:cs="Times New Roman"/>
          <w:sz w:val="25"/>
          <w:szCs w:val="25"/>
        </w:rPr>
        <w:t>and in Balram Prasad's case (supra), in the following passage from the latter:</w:t>
      </w:r>
    </w:p>
    <w:p w:rsidR="00AC6D19" w:rsidRPr="00155C26" w:rsidRDefault="00AC6D19" w:rsidP="00155C26">
      <w:pPr>
        <w:spacing w:after="0" w:line="240" w:lineRule="auto"/>
        <w:jc w:val="both"/>
        <w:rPr>
          <w:rFonts w:ascii="Times New Roman" w:hAnsi="Times New Roman" w:cs="Times New Roman"/>
          <w:sz w:val="25"/>
          <w:szCs w:val="25"/>
        </w:rPr>
      </w:pPr>
    </w:p>
    <w:p w:rsid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"170. Indisputably, grant of compensation involving an accident is within the realm of law of torts. It is based on the principle of restitutio in integrum. The said principle provides that a person entitled to damages should, as nearly as possible, get that sum of money which would put him in the same position as he would have been if he had not sustained the wrong. (See Livingstone v. Rawyards Coal Co.)."</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An application of this principle is that the aggrieved person should get that sum of money, which would put him in the same position if he had not sustained the wrong. It must necessarily result in compensating the aggrieved person for the financial loss suffered due to the event, the pain and suffering undergone and the liability that he/she would have to incur due to the disability caused by the event.</w:t>
      </w:r>
    </w:p>
    <w:p w:rsidR="0022713D" w:rsidRPr="00155C26" w:rsidRDefault="0022713D" w:rsidP="00155C26">
      <w:pPr>
        <w:spacing w:after="0" w:line="240" w:lineRule="auto"/>
        <w:jc w:val="both"/>
        <w:rPr>
          <w:rFonts w:ascii="Times New Roman" w:hAnsi="Times New Roman" w:cs="Times New Roman"/>
          <w:sz w:val="25"/>
          <w:szCs w:val="25"/>
        </w:rPr>
      </w:pPr>
    </w:p>
    <w:p w:rsidR="00155C26" w:rsidRPr="0022713D" w:rsidRDefault="00155C26" w:rsidP="00155C26">
      <w:pPr>
        <w:spacing w:after="0" w:line="240" w:lineRule="auto"/>
        <w:jc w:val="both"/>
        <w:rPr>
          <w:rFonts w:ascii="Times New Roman" w:hAnsi="Times New Roman" w:cs="Times New Roman"/>
          <w:b/>
          <w:sz w:val="25"/>
          <w:szCs w:val="25"/>
          <w:u w:val="single"/>
        </w:rPr>
      </w:pPr>
      <w:r w:rsidRPr="0022713D">
        <w:rPr>
          <w:rFonts w:ascii="Times New Roman" w:hAnsi="Times New Roman" w:cs="Times New Roman"/>
          <w:b/>
          <w:sz w:val="25"/>
          <w:szCs w:val="25"/>
          <w:u w:val="single"/>
        </w:rPr>
        <w:t>Past Medical Expenses</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18. It is, therefore, necessary to consider the loss which Sharanya and her parents had to suffer and also to make a suitable provision for Sharanya's future.</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19. The appellant - V. Krishnakumar, Sharanya's father is the sole earning member of a middle class family. His wife is said to be a qualified accountant, who had to sacrifice her career to attend to the constant needs of Sharanya. Sharanya's treatment and the litigation that ensued for almost two decades has been very burdensome on account of the prolonged physical, mental and financial hardships, which her parents had to undergo. It appears that the total expenditure incurred by the appellant from the date of the final verdict of the NCDRC (27.5.2009) until December, 2013 is Rs.8,13,240/-. The aforesaid amount is taken from the uncontroverted statement of expenditure submitted by the appellant. The appellant has stated that he had incurred the following expenditure for Sharanya's treatment, for which there is no effective counter, till December, 2013:</w:t>
      </w:r>
    </w:p>
    <w:p w:rsidR="0022713D" w:rsidRDefault="0022713D" w:rsidP="00155C26">
      <w:pPr>
        <w:spacing w:after="0" w:line="240" w:lineRule="auto"/>
        <w:jc w:val="both"/>
        <w:rPr>
          <w:rFonts w:ascii="Times New Roman" w:hAnsi="Times New Roman" w:cs="Times New Roman"/>
          <w:sz w:val="25"/>
          <w:szCs w:val="25"/>
        </w:rPr>
      </w:pPr>
    </w:p>
    <w:tbl>
      <w:tblPr>
        <w:tblStyle w:val="TableGrid"/>
        <w:tblpPr w:leftFromText="180" w:rightFromText="180" w:vertAnchor="text" w:horzAnchor="margin" w:tblpY="-11"/>
        <w:tblW w:w="0" w:type="auto"/>
        <w:tblLook w:val="04A0"/>
      </w:tblPr>
      <w:tblGrid>
        <w:gridCol w:w="3192"/>
        <w:gridCol w:w="3192"/>
        <w:gridCol w:w="3192"/>
      </w:tblGrid>
      <w:tr w:rsidR="0022713D" w:rsidTr="0022713D">
        <w:tc>
          <w:tcPr>
            <w:tcW w:w="3192" w:type="dxa"/>
          </w:tcPr>
          <w:p w:rsidR="0022713D" w:rsidRDefault="0022713D" w:rsidP="0022713D">
            <w:pPr>
              <w:jc w:val="both"/>
              <w:rPr>
                <w:rFonts w:ascii="Times New Roman" w:hAnsi="Times New Roman" w:cs="Times New Roman"/>
                <w:sz w:val="25"/>
                <w:szCs w:val="25"/>
              </w:rPr>
            </w:pPr>
            <w:r>
              <w:rPr>
                <w:rFonts w:ascii="Times New Roman" w:hAnsi="Times New Roman" w:cs="Times New Roman"/>
                <w:sz w:val="25"/>
                <w:szCs w:val="25"/>
              </w:rPr>
              <w:t xml:space="preserve">Medical Expenses </w:t>
            </w:r>
          </w:p>
        </w:tc>
        <w:tc>
          <w:tcPr>
            <w:tcW w:w="3192" w:type="dxa"/>
          </w:tcPr>
          <w:p w:rsidR="0022713D" w:rsidRDefault="0022713D" w:rsidP="0022713D">
            <w:pPr>
              <w:jc w:val="both"/>
              <w:rPr>
                <w:rFonts w:ascii="Times New Roman" w:hAnsi="Times New Roman" w:cs="Times New Roman"/>
                <w:sz w:val="25"/>
                <w:szCs w:val="25"/>
              </w:rPr>
            </w:pPr>
            <w:r>
              <w:rPr>
                <w:rFonts w:ascii="Times New Roman" w:hAnsi="Times New Roman" w:cs="Times New Roman"/>
                <w:sz w:val="25"/>
                <w:szCs w:val="25"/>
              </w:rPr>
              <w:t>Amount</w:t>
            </w:r>
          </w:p>
        </w:tc>
        <w:tc>
          <w:tcPr>
            <w:tcW w:w="3192" w:type="dxa"/>
          </w:tcPr>
          <w:p w:rsidR="0022713D" w:rsidRDefault="0022713D" w:rsidP="0022713D">
            <w:pPr>
              <w:jc w:val="both"/>
              <w:rPr>
                <w:rFonts w:ascii="Times New Roman" w:hAnsi="Times New Roman" w:cs="Times New Roman"/>
                <w:sz w:val="25"/>
                <w:szCs w:val="25"/>
              </w:rPr>
            </w:pPr>
            <w:r>
              <w:rPr>
                <w:rFonts w:ascii="Times New Roman" w:hAnsi="Times New Roman" w:cs="Times New Roman"/>
                <w:sz w:val="25"/>
                <w:szCs w:val="25"/>
              </w:rPr>
              <w:t>Supporting Document</w:t>
            </w:r>
          </w:p>
        </w:tc>
      </w:tr>
      <w:tr w:rsidR="0022713D" w:rsidTr="0022713D">
        <w:tc>
          <w:tcPr>
            <w:tcW w:w="3192" w:type="dxa"/>
          </w:tcPr>
          <w:p w:rsidR="0022713D" w:rsidRDefault="0022713D" w:rsidP="0022713D">
            <w:pPr>
              <w:jc w:val="both"/>
              <w:rPr>
                <w:rFonts w:ascii="Times New Roman" w:hAnsi="Times New Roman" w:cs="Times New Roman"/>
                <w:sz w:val="25"/>
                <w:szCs w:val="25"/>
              </w:rPr>
            </w:pPr>
          </w:p>
        </w:tc>
        <w:tc>
          <w:tcPr>
            <w:tcW w:w="3192" w:type="dxa"/>
          </w:tcPr>
          <w:p w:rsidR="0022713D" w:rsidRDefault="0022713D" w:rsidP="0022713D">
            <w:pPr>
              <w:jc w:val="both"/>
              <w:rPr>
                <w:rFonts w:ascii="Times New Roman" w:hAnsi="Times New Roman" w:cs="Times New Roman"/>
                <w:sz w:val="25"/>
                <w:szCs w:val="25"/>
              </w:rPr>
            </w:pPr>
          </w:p>
        </w:tc>
        <w:tc>
          <w:tcPr>
            <w:tcW w:w="3192" w:type="dxa"/>
          </w:tcPr>
          <w:p w:rsidR="0022713D" w:rsidRDefault="0022713D" w:rsidP="0022713D">
            <w:pPr>
              <w:jc w:val="both"/>
              <w:rPr>
                <w:rFonts w:ascii="Times New Roman" w:hAnsi="Times New Roman" w:cs="Times New Roman"/>
                <w:sz w:val="25"/>
                <w:szCs w:val="25"/>
              </w:rPr>
            </w:pPr>
          </w:p>
        </w:tc>
      </w:tr>
      <w:tr w:rsidR="0022713D" w:rsidTr="0022713D">
        <w:tc>
          <w:tcPr>
            <w:tcW w:w="3192" w:type="dxa"/>
          </w:tcPr>
          <w:p w:rsidR="0022713D"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lastRenderedPageBreak/>
              <w:t>a)Till December 2003</w:t>
            </w:r>
          </w:p>
        </w:tc>
        <w:tc>
          <w:tcPr>
            <w:tcW w:w="3192" w:type="dxa"/>
          </w:tcPr>
          <w:p w:rsidR="0022713D"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28,63,771/-</w:t>
            </w:r>
          </w:p>
        </w:tc>
        <w:tc>
          <w:tcPr>
            <w:tcW w:w="3192" w:type="dxa"/>
          </w:tcPr>
          <w:p w:rsidR="0022713D"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Exhibit P1-P4</w:t>
            </w:r>
          </w:p>
        </w:tc>
      </w:tr>
      <w:tr w:rsidR="0022713D" w:rsidTr="0022713D">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b)January 2004-</w:t>
            </w:r>
            <w:r w:rsidRPr="00155C26">
              <w:rPr>
                <w:rFonts w:ascii="Times New Roman" w:hAnsi="Times New Roman" w:cs="Times New Roman"/>
                <w:sz w:val="25"/>
                <w:szCs w:val="25"/>
              </w:rPr>
              <w:tab/>
            </w:r>
          </w:p>
        </w:tc>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2,57,600/-</w:t>
            </w:r>
          </w:p>
        </w:tc>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Annexure A-8 October 2007</w:t>
            </w:r>
            <w:r w:rsidRPr="00155C26">
              <w:rPr>
                <w:rFonts w:ascii="Times New Roman" w:hAnsi="Times New Roman" w:cs="Times New Roman"/>
                <w:sz w:val="25"/>
                <w:szCs w:val="25"/>
              </w:rPr>
              <w:tab/>
            </w:r>
            <w:r w:rsidRPr="00155C26">
              <w:rPr>
                <w:rFonts w:ascii="Times New Roman" w:hAnsi="Times New Roman" w:cs="Times New Roman"/>
                <w:sz w:val="25"/>
                <w:szCs w:val="25"/>
              </w:rPr>
              <w:tab/>
            </w:r>
          </w:p>
        </w:tc>
      </w:tr>
      <w:tr w:rsidR="0022713D" w:rsidTr="0022713D">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c)27.5.2009 to December 2013</w:t>
            </w:r>
          </w:p>
        </w:tc>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8,13,240/-</w:t>
            </w:r>
            <w:r w:rsidRPr="00155C26">
              <w:rPr>
                <w:rFonts w:ascii="Times New Roman" w:hAnsi="Times New Roman" w:cs="Times New Roman"/>
                <w:sz w:val="25"/>
                <w:szCs w:val="25"/>
              </w:rPr>
              <w:tab/>
            </w:r>
          </w:p>
        </w:tc>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I.A. No.2 of 2014 in Civil Appeal No. 8065 of 2009</w:t>
            </w:r>
          </w:p>
        </w:tc>
      </w:tr>
      <w:tr w:rsidR="0022713D" w:rsidTr="0022713D">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d)January 2014 - March 2015</w:t>
            </w:r>
          </w:p>
        </w:tc>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2,03,310/-</w:t>
            </w:r>
          </w:p>
        </w:tc>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Based on I.A. No.2 of 2014 in Civil Appeal No. 8065 of 2009</w:t>
            </w:r>
          </w:p>
        </w:tc>
      </w:tr>
      <w:tr w:rsidR="0022713D" w:rsidTr="0022713D">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Total (a) + (b) + (c)</w:t>
            </w:r>
          </w:p>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 (d)</w:t>
            </w:r>
            <w:r w:rsidRPr="00155C26">
              <w:rPr>
                <w:rFonts w:ascii="Times New Roman" w:hAnsi="Times New Roman" w:cs="Times New Roman"/>
                <w:sz w:val="25"/>
                <w:szCs w:val="25"/>
              </w:rPr>
              <w:tab/>
            </w:r>
          </w:p>
        </w:tc>
        <w:tc>
          <w:tcPr>
            <w:tcW w:w="3192" w:type="dxa"/>
          </w:tcPr>
          <w:p w:rsidR="0022713D" w:rsidRPr="00155C26" w:rsidRDefault="0022713D" w:rsidP="0022713D">
            <w:pPr>
              <w:jc w:val="both"/>
              <w:rPr>
                <w:rFonts w:ascii="Times New Roman" w:hAnsi="Times New Roman" w:cs="Times New Roman"/>
                <w:sz w:val="25"/>
                <w:szCs w:val="25"/>
              </w:rPr>
            </w:pPr>
            <w:r w:rsidRPr="00155C26">
              <w:rPr>
                <w:rFonts w:ascii="Times New Roman" w:hAnsi="Times New Roman" w:cs="Times New Roman"/>
                <w:sz w:val="25"/>
                <w:szCs w:val="25"/>
              </w:rPr>
              <w:t>41,37,921/-</w:t>
            </w:r>
            <w:r w:rsidRPr="00155C26">
              <w:rPr>
                <w:rFonts w:ascii="Times New Roman" w:hAnsi="Times New Roman" w:cs="Times New Roman"/>
                <w:sz w:val="25"/>
                <w:szCs w:val="25"/>
              </w:rPr>
              <w:tab/>
            </w:r>
          </w:p>
          <w:p w:rsidR="0022713D" w:rsidRPr="00155C26" w:rsidRDefault="0022713D" w:rsidP="0022713D">
            <w:pPr>
              <w:jc w:val="both"/>
              <w:rPr>
                <w:rFonts w:ascii="Times New Roman" w:hAnsi="Times New Roman" w:cs="Times New Roman"/>
                <w:sz w:val="25"/>
                <w:szCs w:val="25"/>
              </w:rPr>
            </w:pPr>
          </w:p>
        </w:tc>
        <w:tc>
          <w:tcPr>
            <w:tcW w:w="3192" w:type="dxa"/>
          </w:tcPr>
          <w:p w:rsidR="0022713D" w:rsidRPr="00155C26" w:rsidRDefault="0022713D" w:rsidP="0022713D">
            <w:pPr>
              <w:jc w:val="both"/>
              <w:rPr>
                <w:rFonts w:ascii="Times New Roman" w:hAnsi="Times New Roman" w:cs="Times New Roman"/>
                <w:sz w:val="25"/>
                <w:szCs w:val="25"/>
              </w:rPr>
            </w:pPr>
          </w:p>
        </w:tc>
      </w:tr>
    </w:tbl>
    <w:p w:rsidR="0022713D" w:rsidRPr="00155C26" w:rsidRDefault="0022713D" w:rsidP="00155C26">
      <w:pPr>
        <w:spacing w:after="0" w:line="240" w:lineRule="auto"/>
        <w:jc w:val="both"/>
        <w:rPr>
          <w:rFonts w:ascii="Times New Roman" w:hAnsi="Times New Roman" w:cs="Times New Roman"/>
          <w:sz w:val="25"/>
          <w:szCs w:val="25"/>
        </w:rPr>
      </w:pPr>
    </w:p>
    <w:p w:rsidR="00155C26" w:rsidRP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ab/>
      </w:r>
      <w:r w:rsidRPr="00155C26">
        <w:rPr>
          <w:rFonts w:ascii="Times New Roman" w:hAnsi="Times New Roman" w:cs="Times New Roman"/>
          <w:sz w:val="25"/>
          <w:szCs w:val="25"/>
        </w:rPr>
        <w:tab/>
      </w: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20. Since there is no reason to assume that there has been any change in the expenditure, we have calculated the expenditure from January 2014 to March 2015 at the same rate as the preceding period. In addition, we also deem it fit to award a sum of Rs. 1,50,000/- in lieu of the financial hardship undergone particularly by Sharanya's mother, who became her primary caregiver and was thus prevented from pursuing her own career. In Spring Meadows Hospital and Another v. Harjol Ahluwalia [1998 4 SCC 39] this court acknowledged the importance of granting compensation to the parents of a victim of medical negligence in lieu of their acute mental agony and the lifelong care and attention they would have to give to the child. This being so, the financial hardship faced by the parents, in terms of lost wages and time must also be recognized. Thus, the above expenditure must be allowed.</w:t>
      </w:r>
    </w:p>
    <w:p w:rsidR="0022713D" w:rsidRPr="00155C26" w:rsidRDefault="0022713D" w:rsidP="00155C26">
      <w:pPr>
        <w:spacing w:after="0" w:line="240" w:lineRule="auto"/>
        <w:jc w:val="both"/>
        <w:rPr>
          <w:rFonts w:ascii="Times New Roman" w:hAnsi="Times New Roman" w:cs="Times New Roman"/>
          <w:sz w:val="25"/>
          <w:szCs w:val="25"/>
        </w:rPr>
      </w:pPr>
    </w:p>
    <w:p w:rsidR="00155C26" w:rsidRPr="00155C26" w:rsidRDefault="0022713D"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155C26" w:rsidRPr="00155C26">
        <w:rPr>
          <w:rFonts w:ascii="Times New Roman" w:hAnsi="Times New Roman" w:cs="Times New Roman"/>
          <w:sz w:val="25"/>
          <w:szCs w:val="25"/>
        </w:rPr>
        <w:t>We accordingly direct that the above amount i.e. Rs.42,87,921/- shall be paid by the Respondent Nos.1 to 4. In addition, interest at the rate of 6% p.a. shall be paid to the appellant from the date of filing of the petition before the NCDRC till the date of payment.</w:t>
      </w:r>
    </w:p>
    <w:p w:rsidR="0022713D" w:rsidRDefault="0022713D" w:rsidP="00155C26">
      <w:pPr>
        <w:spacing w:after="0" w:line="240" w:lineRule="auto"/>
        <w:jc w:val="both"/>
        <w:rPr>
          <w:rFonts w:ascii="Times New Roman" w:hAnsi="Times New Roman" w:cs="Times New Roman"/>
          <w:sz w:val="25"/>
          <w:szCs w:val="25"/>
        </w:rPr>
      </w:pPr>
    </w:p>
    <w:p w:rsidR="00155C26" w:rsidRPr="0022713D" w:rsidRDefault="00155C26" w:rsidP="00155C26">
      <w:pPr>
        <w:spacing w:after="0" w:line="240" w:lineRule="auto"/>
        <w:jc w:val="both"/>
        <w:rPr>
          <w:rFonts w:ascii="Times New Roman" w:hAnsi="Times New Roman" w:cs="Times New Roman"/>
          <w:b/>
          <w:sz w:val="25"/>
          <w:szCs w:val="25"/>
        </w:rPr>
      </w:pPr>
      <w:r w:rsidRPr="0022713D">
        <w:rPr>
          <w:rFonts w:ascii="Times New Roman" w:hAnsi="Times New Roman" w:cs="Times New Roman"/>
          <w:b/>
          <w:sz w:val="25"/>
          <w:szCs w:val="25"/>
        </w:rPr>
        <w:t>Future Medical Expenses</w:t>
      </w:r>
    </w:p>
    <w:p w:rsidR="0022713D" w:rsidRPr="00155C26" w:rsidRDefault="0022713D" w:rsidP="00155C26">
      <w:pPr>
        <w:spacing w:after="0" w:line="240" w:lineRule="auto"/>
        <w:jc w:val="both"/>
        <w:rPr>
          <w:rFonts w:ascii="Times New Roman" w:hAnsi="Times New Roman" w:cs="Times New Roman"/>
          <w:sz w:val="25"/>
          <w:szCs w:val="25"/>
        </w:rPr>
      </w:pPr>
    </w:p>
    <w:p w:rsidR="00155C26" w:rsidRPr="00155C26" w:rsidRDefault="0022713D"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155C26" w:rsidRPr="00155C26">
        <w:rPr>
          <w:rFonts w:ascii="Times New Roman" w:hAnsi="Times New Roman" w:cs="Times New Roman"/>
          <w:sz w:val="25"/>
          <w:szCs w:val="25"/>
        </w:rPr>
        <w:t xml:space="preserve">Going by the uncontroverted statement of expenditure for the period from the final verdict of the NCDRC to December, 2013, the monthly expenditure is stated to be Rs. 13,554/-, resulting in an annual expenditure of Rs. 1,62,648/-. Having perused the various heads of expenditure very carefully, we observe that the medical costs for Sharanya's treatment will not remain static, but are likely to rise substantially in the future years. Sharanya's present age is about 18 / years. If her life expectancy is taken to be about 70 years, for the next 51 years, the amount of expenditure, at the same rate will work out to Rs. 82,95,048/-. It is therefore imperative that we account for inflation to ensure that the present value of compensation awarded for future medical costs is not unduly diluted, for no fault of the victim of negligence. The impact of inflation affects us all. The value of today's rupee should be determined in the future. For instance, a sum of Rs. 100 today, in fifteen years,  </w:t>
      </w:r>
    </w:p>
    <w:p w:rsidR="00155C26" w:rsidRP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 xml:space="preserve">given a modest 3% inflation rate, would be worth only Rs.64.13. In </w:t>
      </w:r>
      <w:r w:rsidRPr="0022713D">
        <w:rPr>
          <w:rFonts w:ascii="Times New Roman" w:hAnsi="Times New Roman" w:cs="Times New Roman"/>
          <w:b/>
          <w:i/>
          <w:sz w:val="25"/>
          <w:szCs w:val="25"/>
        </w:rPr>
        <w:t>Wells v. Wells</w:t>
      </w:r>
      <w:r w:rsidRPr="0022713D">
        <w:rPr>
          <w:rFonts w:ascii="Times New Roman" w:hAnsi="Times New Roman" w:cs="Times New Roman"/>
          <w:b/>
          <w:i/>
          <w:sz w:val="20"/>
          <w:szCs w:val="20"/>
          <w:vertAlign w:val="superscript"/>
        </w:rPr>
        <w:t>3</w:t>
      </w:r>
      <w:r w:rsidRPr="00155C26">
        <w:rPr>
          <w:rFonts w:ascii="Times New Roman" w:hAnsi="Times New Roman" w:cs="Times New Roman"/>
          <w:sz w:val="25"/>
          <w:szCs w:val="25"/>
        </w:rPr>
        <w:t xml:space="preserve"> the House of Lords observed that the purpose of awarding a lump sum for damages for the costs of future care and loss of future earnings was to put the plaintiff in the same financial </w:t>
      </w:r>
      <w:r w:rsidRPr="00155C26">
        <w:rPr>
          <w:rFonts w:ascii="Times New Roman" w:hAnsi="Times New Roman" w:cs="Times New Roman"/>
          <w:sz w:val="25"/>
          <w:szCs w:val="25"/>
        </w:rPr>
        <w:lastRenderedPageBreak/>
        <w:t>position as if the injury had not occurred, and consequently the courts had the difficult task of ensuring that the award maintained its value in real terms, despite the effect of inflation. _</w:t>
      </w:r>
    </w:p>
    <w:p w:rsidR="0022713D" w:rsidRDefault="0022713D" w:rsidP="00155C26">
      <w:pPr>
        <w:spacing w:after="0" w:line="240" w:lineRule="auto"/>
        <w:jc w:val="both"/>
        <w:rPr>
          <w:rFonts w:ascii="Times New Roman" w:hAnsi="Times New Roman" w:cs="Times New Roman"/>
          <w:b/>
          <w:sz w:val="25"/>
          <w:szCs w:val="25"/>
        </w:rPr>
      </w:pPr>
    </w:p>
    <w:p w:rsidR="00155C26" w:rsidRPr="0022713D" w:rsidRDefault="00155C26" w:rsidP="00155C26">
      <w:pPr>
        <w:spacing w:after="0" w:line="240" w:lineRule="auto"/>
        <w:jc w:val="both"/>
        <w:rPr>
          <w:rFonts w:ascii="Times New Roman" w:hAnsi="Times New Roman" w:cs="Times New Roman"/>
          <w:b/>
          <w:sz w:val="25"/>
          <w:szCs w:val="25"/>
        </w:rPr>
      </w:pPr>
      <w:r w:rsidRPr="0022713D">
        <w:rPr>
          <w:rFonts w:ascii="Times New Roman" w:hAnsi="Times New Roman" w:cs="Times New Roman"/>
          <w:b/>
          <w:sz w:val="25"/>
          <w:szCs w:val="25"/>
        </w:rPr>
        <w:t>Apportioning For Inflation</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 xml:space="preserve">23. Inflation over time certainly erodes the value of money. The rate of inflation (Wholesale Price Index-Annual Variation) in India </w:t>
      </w:r>
      <w:r w:rsidRPr="0022713D">
        <w:rPr>
          <w:rFonts w:ascii="Times New Roman" w:hAnsi="Times New Roman" w:cs="Times New Roman"/>
          <w:i/>
          <w:sz w:val="25"/>
          <w:szCs w:val="25"/>
        </w:rPr>
        <w:t>presently is 2 percent</w:t>
      </w:r>
      <w:r w:rsidRPr="0022713D">
        <w:rPr>
          <w:rFonts w:ascii="Times New Roman" w:hAnsi="Times New Roman" w:cs="Times New Roman"/>
          <w:i/>
          <w:sz w:val="20"/>
          <w:szCs w:val="20"/>
          <w:vertAlign w:val="superscript"/>
        </w:rPr>
        <w:t>4</w:t>
      </w:r>
      <w:r w:rsidRPr="00155C26">
        <w:rPr>
          <w:rFonts w:ascii="Times New Roman" w:hAnsi="Times New Roman" w:cs="Times New Roman"/>
          <w:sz w:val="25"/>
          <w:szCs w:val="25"/>
        </w:rPr>
        <w:t xml:space="preserve"> as per the Reserve Bank of India. The average inflationary rate between 1990-91 and 2014-15 is 6.76 percent as per data from the RBI. In the present case we are of the view that this inflationary principle must be adopted at a conservative rate of 1 percent per annum to keep in mind fluctuations over the next 51 years.</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22713D" w:rsidP="002271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55C26" w:rsidRPr="00155C26">
        <w:rPr>
          <w:rFonts w:ascii="Times New Roman" w:hAnsi="Times New Roman" w:cs="Times New Roman"/>
          <w:sz w:val="25"/>
          <w:szCs w:val="25"/>
        </w:rPr>
        <w:t>The formula to compute the required future amount is</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calculated using the standard future value formula:-</w:t>
      </w:r>
    </w:p>
    <w:p w:rsidR="0022713D" w:rsidRPr="00155C26" w:rsidRDefault="0022713D" w:rsidP="0022713D">
      <w:pPr>
        <w:spacing w:after="0" w:line="240" w:lineRule="auto"/>
        <w:ind w:left="720"/>
        <w:jc w:val="both"/>
        <w:rPr>
          <w:rFonts w:ascii="Times New Roman" w:hAnsi="Times New Roman" w:cs="Times New Roman"/>
          <w:sz w:val="25"/>
          <w:szCs w:val="25"/>
        </w:rPr>
      </w:pPr>
    </w:p>
    <w:p w:rsidR="00155C26" w:rsidRP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FV = PV x (1 + r)n</w:t>
      </w:r>
    </w:p>
    <w:p w:rsidR="00155C26" w:rsidRP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PV = Present Value r = rate of return</w:t>
      </w:r>
    </w:p>
    <w:p w:rsidR="00155C26" w:rsidRP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3  [1999]1 A.C. 345.</w:t>
      </w:r>
    </w:p>
    <w:p w:rsidR="00155C26" w:rsidRP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4  Handbook of Statistics, Reserve Bank of India</w:t>
      </w:r>
    </w:p>
    <w:p w:rsidR="00155C26" w:rsidRPr="00155C26" w:rsidRDefault="00155C26" w:rsidP="0022713D">
      <w:pPr>
        <w:spacing w:after="0" w:line="240" w:lineRule="auto"/>
        <w:ind w:left="720"/>
        <w:jc w:val="both"/>
        <w:rPr>
          <w:rFonts w:ascii="Times New Roman" w:hAnsi="Times New Roman" w:cs="Times New Roman"/>
          <w:sz w:val="25"/>
          <w:szCs w:val="25"/>
        </w:rPr>
      </w:pPr>
    </w:p>
    <w:p w:rsidR="00155C26" w:rsidRP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n = time period</w:t>
      </w:r>
    </w:p>
    <w:p w:rsid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Accordingly, the amount arrived at with an annual inflation rate of 1 percent over 51 years is Rs.1,37,78,722.90 rounded to Rs.1,38,00,000/-.</w:t>
      </w:r>
      <w:r w:rsidR="0022713D">
        <w:rPr>
          <w:rFonts w:ascii="Times New Roman" w:hAnsi="Times New Roman" w:cs="Times New Roman"/>
          <w:sz w:val="25"/>
          <w:szCs w:val="25"/>
        </w:rPr>
        <w:t>”</w:t>
      </w:r>
    </w:p>
    <w:p w:rsidR="0022713D" w:rsidRPr="00155C26" w:rsidRDefault="0022713D" w:rsidP="00155C26">
      <w:pPr>
        <w:spacing w:after="0" w:line="240" w:lineRule="auto"/>
        <w:jc w:val="both"/>
        <w:rPr>
          <w:rFonts w:ascii="Times New Roman" w:hAnsi="Times New Roman" w:cs="Times New Roman"/>
          <w:sz w:val="25"/>
          <w:szCs w:val="25"/>
        </w:rPr>
      </w:pPr>
    </w:p>
    <w:p w:rsidR="00155C26" w:rsidRPr="0022713D" w:rsidRDefault="00155C26" w:rsidP="00155C26">
      <w:pPr>
        <w:spacing w:after="0" w:line="240" w:lineRule="auto"/>
        <w:jc w:val="both"/>
        <w:rPr>
          <w:rFonts w:ascii="Times New Roman" w:hAnsi="Times New Roman" w:cs="Times New Roman"/>
          <w:b/>
          <w:sz w:val="25"/>
          <w:szCs w:val="25"/>
        </w:rPr>
      </w:pPr>
      <w:r w:rsidRPr="0022713D">
        <w:rPr>
          <w:rFonts w:ascii="Times New Roman" w:hAnsi="Times New Roman" w:cs="Times New Roman"/>
          <w:b/>
          <w:sz w:val="25"/>
          <w:szCs w:val="25"/>
        </w:rPr>
        <w:t>Comparative law</w:t>
      </w:r>
    </w:p>
    <w:p w:rsidR="0022713D" w:rsidRPr="00155C26" w:rsidRDefault="0022713D" w:rsidP="00155C26">
      <w:pPr>
        <w:spacing w:after="0" w:line="240" w:lineRule="auto"/>
        <w:jc w:val="both"/>
        <w:rPr>
          <w:rFonts w:ascii="Times New Roman" w:hAnsi="Times New Roman" w:cs="Times New Roman"/>
          <w:sz w:val="25"/>
          <w:szCs w:val="25"/>
        </w:rPr>
      </w:pPr>
    </w:p>
    <w:p w:rsidR="00155C26" w:rsidRP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24. This Court has referred to case law from a number of</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other major common law jurisdictions on the question of</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accounting for inflation in the computation of awards in medical</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negligence cases. It is unnecessary to discuss it in detail. It is</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sufficient to note that the principle of apportioning for</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inflationary fluctuations in the final lump sum award for</w:t>
      </w: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damages has been upheld and applied in numerous cases</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pertaining to medical negligence. In the United States of</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America, most states, as in Ireland and the United Kingdom,</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require awards for future medical costs to be reduced to their</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present value so that the damages can be awarded in the form</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of a one-time lump sum. The leading case in the United States,</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which acknowledges the impact of inflation while calculating</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 xml:space="preserve">damages for medical negligence was </w:t>
      </w:r>
      <w:r w:rsidRPr="0022713D">
        <w:rPr>
          <w:rFonts w:ascii="Times New Roman" w:hAnsi="Times New Roman" w:cs="Times New Roman"/>
          <w:i/>
          <w:sz w:val="25"/>
          <w:szCs w:val="25"/>
        </w:rPr>
        <w:t>Jones &amp; Laughlin Steel</w:t>
      </w:r>
      <w:r w:rsidR="0022713D" w:rsidRPr="0022713D">
        <w:rPr>
          <w:rFonts w:ascii="Times New Roman" w:hAnsi="Times New Roman" w:cs="Times New Roman"/>
          <w:i/>
          <w:sz w:val="25"/>
          <w:szCs w:val="25"/>
        </w:rPr>
        <w:t xml:space="preserve"> </w:t>
      </w:r>
      <w:r w:rsidRPr="0022713D">
        <w:rPr>
          <w:rFonts w:ascii="Times New Roman" w:hAnsi="Times New Roman" w:cs="Times New Roman"/>
          <w:i/>
          <w:sz w:val="25"/>
          <w:szCs w:val="25"/>
        </w:rPr>
        <w:t>Corporation v. Pfeifer</w:t>
      </w:r>
      <w:r w:rsidR="0022713D" w:rsidRPr="0022713D">
        <w:rPr>
          <w:rFonts w:ascii="Times New Roman" w:hAnsi="Times New Roman" w:cs="Times New Roman"/>
          <w:sz w:val="20"/>
          <w:szCs w:val="20"/>
          <w:vertAlign w:val="superscript"/>
        </w:rPr>
        <w:t>5</w:t>
      </w:r>
      <w:r w:rsidRPr="00155C26">
        <w:rPr>
          <w:rFonts w:ascii="Times New Roman" w:hAnsi="Times New Roman" w:cs="Times New Roman"/>
          <w:sz w:val="25"/>
          <w:szCs w:val="25"/>
        </w:rPr>
        <w:t xml:space="preserve"> , wherein that court recognized the</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propriety of taking into account the factors of present value and</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 xml:space="preserve">inflation in damage awards. Similarly, in </w:t>
      </w:r>
      <w:r w:rsidRPr="0022713D">
        <w:rPr>
          <w:rFonts w:ascii="Times New Roman" w:hAnsi="Times New Roman" w:cs="Times New Roman"/>
          <w:i/>
          <w:sz w:val="25"/>
          <w:szCs w:val="25"/>
        </w:rPr>
        <w:t>O'Shea v Riverway</w:t>
      </w:r>
      <w:r w:rsidR="0022713D" w:rsidRPr="0022713D">
        <w:rPr>
          <w:rFonts w:ascii="Times New Roman" w:hAnsi="Times New Roman" w:cs="Times New Roman"/>
          <w:i/>
          <w:sz w:val="25"/>
          <w:szCs w:val="25"/>
        </w:rPr>
        <w:t xml:space="preserve"> </w:t>
      </w:r>
      <w:r w:rsidRPr="0022713D">
        <w:rPr>
          <w:rFonts w:ascii="Times New Roman" w:hAnsi="Times New Roman" w:cs="Times New Roman"/>
          <w:i/>
          <w:sz w:val="25"/>
          <w:szCs w:val="25"/>
        </w:rPr>
        <w:t>Towing Co</w:t>
      </w:r>
      <w:r w:rsidR="0022713D" w:rsidRPr="0022713D">
        <w:rPr>
          <w:rFonts w:ascii="Times New Roman" w:hAnsi="Times New Roman" w:cs="Times New Roman"/>
          <w:i/>
          <w:sz w:val="20"/>
          <w:szCs w:val="20"/>
          <w:vertAlign w:val="superscript"/>
        </w:rPr>
        <w:t>6</w:t>
      </w:r>
      <w:r w:rsidRPr="0022713D">
        <w:rPr>
          <w:rFonts w:ascii="Times New Roman" w:hAnsi="Times New Roman" w:cs="Times New Roman"/>
          <w:i/>
          <w:sz w:val="25"/>
          <w:szCs w:val="25"/>
        </w:rPr>
        <w:t>.</w:t>
      </w:r>
      <w:r w:rsidRPr="00155C26">
        <w:rPr>
          <w:rFonts w:ascii="Times New Roman" w:hAnsi="Times New Roman" w:cs="Times New Roman"/>
          <w:sz w:val="25"/>
          <w:szCs w:val="25"/>
        </w:rPr>
        <w:t xml:space="preserve"> , Posner J., acknowledged the problem of personal injury victims being severely undercompensated as a result of persistently high inflation.</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 xml:space="preserve">In </w:t>
      </w:r>
      <w:r w:rsidRPr="0022713D">
        <w:rPr>
          <w:rFonts w:ascii="Times New Roman" w:hAnsi="Times New Roman" w:cs="Times New Roman"/>
          <w:i/>
          <w:sz w:val="25"/>
          <w:szCs w:val="25"/>
        </w:rPr>
        <w:t>Taylor v. O' Connor</w:t>
      </w:r>
      <w:r w:rsidR="0022713D" w:rsidRPr="0022713D">
        <w:rPr>
          <w:rFonts w:ascii="Times New Roman" w:hAnsi="Times New Roman" w:cs="Times New Roman"/>
          <w:i/>
          <w:sz w:val="20"/>
          <w:szCs w:val="20"/>
          <w:vertAlign w:val="superscript"/>
        </w:rPr>
        <w:t>7</w:t>
      </w:r>
      <w:r w:rsidRPr="00155C26">
        <w:rPr>
          <w:rFonts w:ascii="Times New Roman" w:hAnsi="Times New Roman" w:cs="Times New Roman"/>
          <w:sz w:val="25"/>
          <w:szCs w:val="25"/>
        </w:rPr>
        <w:t>, Lord Reid accepted the importance of</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apportioning for inflation:</w:t>
      </w:r>
    </w:p>
    <w:p w:rsidR="0022713D" w:rsidRPr="00155C26" w:rsidRDefault="0022713D" w:rsidP="00155C26">
      <w:pPr>
        <w:spacing w:after="0" w:line="240" w:lineRule="auto"/>
        <w:jc w:val="both"/>
        <w:rPr>
          <w:rFonts w:ascii="Times New Roman" w:hAnsi="Times New Roman" w:cs="Times New Roman"/>
          <w:sz w:val="25"/>
          <w:szCs w:val="25"/>
        </w:rPr>
      </w:pPr>
    </w:p>
    <w:p w:rsidR="0022713D"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 xml:space="preserve">"It will be observed that I have more than once taken note of present day conditions </w:t>
      </w:r>
      <w:r w:rsidR="0022713D">
        <w:rPr>
          <w:rFonts w:ascii="Times New Roman" w:hAnsi="Times New Roman" w:cs="Times New Roman"/>
          <w:sz w:val="25"/>
          <w:szCs w:val="25"/>
        </w:rPr>
        <w:t>–</w:t>
      </w:r>
      <w:r w:rsidRPr="00155C26">
        <w:rPr>
          <w:rFonts w:ascii="Times New Roman" w:hAnsi="Times New Roman" w:cs="Times New Roman"/>
          <w:sz w:val="25"/>
          <w:szCs w:val="25"/>
        </w:rPr>
        <w:t xml:space="preserve"> </w:t>
      </w:r>
    </w:p>
    <w:p w:rsidR="0022713D" w:rsidRDefault="0022713D" w:rsidP="0022713D">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2.25pt;margin-top:3.05pt;width:488.25pt;height:.75pt;flip:y;z-index:251660288" o:connectortype="straight"/>
        </w:pict>
      </w:r>
    </w:p>
    <w:p w:rsidR="0022713D" w:rsidRPr="0022713D" w:rsidRDefault="0022713D" w:rsidP="0022713D">
      <w:pPr>
        <w:spacing w:after="0" w:line="240" w:lineRule="auto"/>
        <w:jc w:val="both"/>
        <w:rPr>
          <w:rFonts w:ascii="Times New Roman" w:hAnsi="Times New Roman" w:cs="Times New Roman"/>
          <w:b/>
          <w:i/>
        </w:rPr>
      </w:pPr>
      <w:r w:rsidRPr="0022713D">
        <w:rPr>
          <w:rFonts w:ascii="Times New Roman" w:hAnsi="Times New Roman" w:cs="Times New Roman"/>
          <w:b/>
          <w:i/>
          <w:vertAlign w:val="superscript"/>
        </w:rPr>
        <w:t>3</w:t>
      </w:r>
      <w:r w:rsidRPr="0022713D">
        <w:rPr>
          <w:rFonts w:ascii="Times New Roman" w:hAnsi="Times New Roman" w:cs="Times New Roman"/>
          <w:b/>
          <w:i/>
        </w:rPr>
        <w:t>[1999] 1 A.C. 345.</w:t>
      </w:r>
    </w:p>
    <w:p w:rsidR="0022713D" w:rsidRDefault="0022713D" w:rsidP="0022713D">
      <w:pPr>
        <w:spacing w:after="0" w:line="240" w:lineRule="auto"/>
        <w:jc w:val="both"/>
        <w:rPr>
          <w:rFonts w:ascii="Times New Roman" w:hAnsi="Times New Roman" w:cs="Times New Roman"/>
          <w:b/>
          <w:i/>
        </w:rPr>
      </w:pPr>
      <w:r w:rsidRPr="0022713D">
        <w:rPr>
          <w:rFonts w:ascii="Times New Roman" w:hAnsi="Times New Roman" w:cs="Times New Roman"/>
          <w:b/>
          <w:i/>
          <w:vertAlign w:val="superscript"/>
        </w:rPr>
        <w:t>4</w:t>
      </w:r>
      <w:r w:rsidRPr="0022713D">
        <w:rPr>
          <w:rFonts w:ascii="Times New Roman" w:hAnsi="Times New Roman" w:cs="Times New Roman"/>
          <w:b/>
          <w:i/>
          <w:iCs/>
        </w:rPr>
        <w:t>Handbook of Statistics</w:t>
      </w:r>
      <w:r w:rsidRPr="0022713D">
        <w:rPr>
          <w:rFonts w:ascii="Times New Roman" w:hAnsi="Times New Roman" w:cs="Times New Roman"/>
          <w:b/>
          <w:i/>
        </w:rPr>
        <w:t>, Reserve Bank of India</w:t>
      </w:r>
    </w:p>
    <w:p w:rsidR="0022713D" w:rsidRPr="0022713D" w:rsidRDefault="0022713D" w:rsidP="0022713D">
      <w:pPr>
        <w:spacing w:after="0" w:line="240" w:lineRule="auto"/>
        <w:ind w:left="720"/>
        <w:jc w:val="both"/>
        <w:rPr>
          <w:rFonts w:ascii="Times New Roman" w:hAnsi="Times New Roman" w:cs="Times New Roman"/>
          <w:b/>
          <w:i/>
        </w:rPr>
      </w:pPr>
      <w:r w:rsidRPr="00155C26">
        <w:rPr>
          <w:rFonts w:ascii="Times New Roman" w:hAnsi="Times New Roman" w:cs="Times New Roman"/>
          <w:sz w:val="25"/>
          <w:szCs w:val="25"/>
        </w:rPr>
        <w:lastRenderedPageBreak/>
        <w:t>in particular rising prices, rising remuneration and high rates of interest. I am well</w:t>
      </w:r>
    </w:p>
    <w:p w:rsid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aware that there is a school of thought which holds that the law should refuse to have any regard to inflation but that calculations should be based on stable prices, steady or slowly increasing rates of remuneration and low rates of interest. That must, I think, be based either on an expectation of an early return to a period of stability or on a nostalgic reluctance to recognise change. It appears to me that some people fear that inflation will get worse, some think that it will go on much as at present, some hope that it will be slowed down, but comparatively few believe that a return to the old financial stability is likely in the foreseeable future. To take any account of future inflation will no doubt cause complications and make estimates even more uncertain. No doubt we should not assume the worst but it would, I think, be quite unrealistic to refuse to take it into account at all."</w:t>
      </w:r>
    </w:p>
    <w:p w:rsidR="0022713D" w:rsidRPr="00155C26" w:rsidRDefault="0022713D" w:rsidP="0022713D">
      <w:pPr>
        <w:spacing w:after="0" w:line="240" w:lineRule="auto"/>
        <w:ind w:left="720"/>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In the same case Lord Morris of Borth-y-Gest also upheld the</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principle of taking into account future uncertainties. He</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observed:</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22713D">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"It is to be remembered that the sum which is awarded will be a once-for-all or final amount which</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the widow must deploy so that to the extent reasonably possible she gets the equivalent of what she has lost. A learned judge cannot be expected to prophesy as to future monetary trends or rates of interest but he need not be unmindful of matters which are common knowledge, such as the uncertainties as to future rates of interest and future levels of taxation. Taking a reasonable and realistic and common-sense view of all aspects of the matter he must try to fix a figure which is neither unfair to the recipient nor to the one who has to pay. A learned judge might well take the view that a recipient would be ill-advised if he entirely ignored all inflationary trends and if he applied the entire sum awarded to him in the purchase of an annuity which over a period of years would give him a fixed and predetermined sum without any provision which protected him against inflationary trends if they developed."</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More recently the Judicial Committee of the UK Privy Council in</w:t>
      </w:r>
      <w:r w:rsidR="0022713D">
        <w:rPr>
          <w:rFonts w:ascii="Times New Roman" w:hAnsi="Times New Roman" w:cs="Times New Roman"/>
          <w:sz w:val="25"/>
          <w:szCs w:val="25"/>
        </w:rPr>
        <w:t xml:space="preserve"> </w:t>
      </w:r>
      <w:r w:rsidRPr="0022713D">
        <w:rPr>
          <w:rFonts w:ascii="Times New Roman" w:hAnsi="Times New Roman" w:cs="Times New Roman"/>
          <w:i/>
          <w:sz w:val="25"/>
          <w:szCs w:val="25"/>
        </w:rPr>
        <w:t>Simon v. Helmot</w:t>
      </w:r>
      <w:r w:rsidR="0022713D" w:rsidRPr="0022713D">
        <w:rPr>
          <w:rFonts w:ascii="Times New Roman" w:hAnsi="Times New Roman" w:cs="Times New Roman"/>
          <w:i/>
          <w:sz w:val="20"/>
          <w:szCs w:val="20"/>
          <w:vertAlign w:val="superscript"/>
        </w:rPr>
        <w:t>8</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has unequivocally acknowledged the principle,</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that the lump sum awarded in medical negligence cases should</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be adjusted so as to reflect the predicted rate of inflation.</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25.  Accordingly, we direct that the said amount i.e. Rs.1,38,00,000/- shall be paid, in the form of a Fixed Deposit, in the name of Sharanya. We are informed that the said amount would yield an approximate annual interest of Rs. 12,00,000/-.</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26.  We find from the impugned order of the NCDRC that the</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compensation awarded by that Forum is directed to be paid only</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by Respondent Nos. 1 and 3 i.e. the State of Tamil Nadu and Dr.</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S. Gopaul, Neo-pediatrician, Government Hospital for Women &amp;</w:t>
      </w:r>
      <w:r w:rsidR="0022713D">
        <w:rPr>
          <w:rFonts w:ascii="Times New Roman" w:hAnsi="Times New Roman" w:cs="Times New Roman"/>
          <w:sz w:val="25"/>
          <w:szCs w:val="25"/>
        </w:rPr>
        <w:t xml:space="preserve"> </w:t>
      </w:r>
      <w:r w:rsidRPr="00155C26">
        <w:rPr>
          <w:rFonts w:ascii="Times New Roman" w:hAnsi="Times New Roman" w:cs="Times New Roman"/>
          <w:sz w:val="25"/>
          <w:szCs w:val="25"/>
        </w:rPr>
        <w:t>Children, Egmore, Chennai. No reason has been assigned by the Forum for relieving Respondent Nos.2 and 4. Dr. Duraiswami, Neo Natology Unit, Government Hospital for Women &amp; Children, Egmore, Chennai, who also treated Sharanya during the course of his visits to the house of the appellant.</w:t>
      </w:r>
    </w:p>
    <w:p w:rsidR="0022713D" w:rsidRPr="00155C26" w:rsidRDefault="0022713D"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 xml:space="preserve">27. It is settled law that the hospital is vicariously liable for the acts of its doctors vide </w:t>
      </w:r>
      <w:r w:rsidRPr="005B0628">
        <w:rPr>
          <w:rFonts w:ascii="Times New Roman" w:hAnsi="Times New Roman" w:cs="Times New Roman"/>
          <w:i/>
          <w:sz w:val="25"/>
          <w:szCs w:val="25"/>
        </w:rPr>
        <w:t>Savita Garg vs. National Heart Institute</w:t>
      </w:r>
      <w:r w:rsidR="005B0628" w:rsidRPr="005B0628">
        <w:rPr>
          <w:rFonts w:ascii="Times New Roman" w:hAnsi="Times New Roman" w:cs="Times New Roman"/>
          <w:i/>
          <w:sz w:val="20"/>
          <w:szCs w:val="20"/>
          <w:vertAlign w:val="superscript"/>
        </w:rPr>
        <w:t>9</w:t>
      </w:r>
      <w:r w:rsidRPr="005B0628">
        <w:rPr>
          <w:rFonts w:ascii="Times New Roman" w:hAnsi="Times New Roman" w:cs="Times New Roman"/>
          <w:i/>
          <w:sz w:val="25"/>
          <w:szCs w:val="25"/>
        </w:rPr>
        <w:t xml:space="preserve">, </w:t>
      </w:r>
      <w:r w:rsidRPr="00155C26">
        <w:rPr>
          <w:rFonts w:ascii="Times New Roman" w:hAnsi="Times New Roman" w:cs="Times New Roman"/>
          <w:sz w:val="25"/>
          <w:szCs w:val="25"/>
        </w:rPr>
        <w:t xml:space="preserve">also followed in Balram Prasad's case (supra). Similarly in </w:t>
      </w:r>
      <w:r w:rsidRPr="005B0628">
        <w:rPr>
          <w:rFonts w:ascii="Times New Roman" w:hAnsi="Times New Roman" w:cs="Times New Roman"/>
          <w:i/>
          <w:sz w:val="25"/>
          <w:szCs w:val="25"/>
        </w:rPr>
        <w:t>Achutrao Haribhau Khodwa v. State of Maharashtra</w:t>
      </w:r>
      <w:r w:rsidR="005B0628" w:rsidRPr="005B0628">
        <w:rPr>
          <w:rFonts w:ascii="Times New Roman" w:hAnsi="Times New Roman" w:cs="Times New Roman"/>
          <w:i/>
          <w:sz w:val="20"/>
          <w:szCs w:val="20"/>
          <w:vertAlign w:val="superscript"/>
        </w:rPr>
        <w:t>10</w:t>
      </w:r>
      <w:r w:rsidRPr="005B0628">
        <w:rPr>
          <w:rFonts w:ascii="Times New Roman" w:hAnsi="Times New Roman" w:cs="Times New Roman"/>
          <w:i/>
          <w:sz w:val="25"/>
          <w:szCs w:val="25"/>
        </w:rPr>
        <w:t xml:space="preserve">, </w:t>
      </w:r>
      <w:r w:rsidRPr="00155C26">
        <w:rPr>
          <w:rFonts w:ascii="Times New Roman" w:hAnsi="Times New Roman" w:cs="Times New Roman"/>
          <w:sz w:val="25"/>
          <w:szCs w:val="25"/>
        </w:rPr>
        <w:t xml:space="preserve">this court unequivocally held that the state would be vicariously liable for the damages which may become payable on account of negligence of its doctors or other employees. By the same measure, it is not possible to absolve Respondent No. 1, the State of Tamil Nadu, which establishes and administers such hospitals through its Department of Health, from its liability. </w:t>
      </w:r>
    </w:p>
    <w:p w:rsidR="005B0628" w:rsidRPr="00155C26" w:rsidRDefault="005B0628" w:rsidP="00155C26">
      <w:pPr>
        <w:spacing w:after="0" w:line="240" w:lineRule="auto"/>
        <w:jc w:val="both"/>
        <w:rPr>
          <w:rFonts w:ascii="Times New Roman" w:hAnsi="Times New Roman" w:cs="Times New Roman"/>
          <w:sz w:val="25"/>
          <w:szCs w:val="25"/>
        </w:rPr>
      </w:pPr>
    </w:p>
    <w:p w:rsidR="00155C26" w:rsidRPr="005B0628" w:rsidRDefault="00155C26" w:rsidP="00155C26">
      <w:pPr>
        <w:spacing w:after="0" w:line="240" w:lineRule="auto"/>
        <w:jc w:val="both"/>
        <w:rPr>
          <w:rFonts w:ascii="Times New Roman" w:hAnsi="Times New Roman" w:cs="Times New Roman"/>
          <w:b/>
          <w:sz w:val="25"/>
          <w:szCs w:val="25"/>
          <w:u w:val="single"/>
        </w:rPr>
      </w:pPr>
      <w:r w:rsidRPr="005B0628">
        <w:rPr>
          <w:rFonts w:ascii="Times New Roman" w:hAnsi="Times New Roman" w:cs="Times New Roman"/>
          <w:b/>
          <w:sz w:val="25"/>
          <w:szCs w:val="25"/>
          <w:u w:val="single"/>
        </w:rPr>
        <w:t>Apportionment of Liability</w:t>
      </w:r>
    </w:p>
    <w:p w:rsidR="005B0628" w:rsidRPr="00155C26" w:rsidRDefault="005B0628"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28.  In the circumstances, we consider it appropriate to apportion the liability of Rs. 1,38,00,000/- among the respondents, as follows:</w:t>
      </w:r>
    </w:p>
    <w:p w:rsidR="005B0628" w:rsidRPr="00155C26" w:rsidRDefault="005B0628" w:rsidP="00155C26">
      <w:pPr>
        <w:spacing w:after="0" w:line="240" w:lineRule="auto"/>
        <w:jc w:val="both"/>
        <w:rPr>
          <w:rFonts w:ascii="Times New Roman" w:hAnsi="Times New Roman" w:cs="Times New Roman"/>
          <w:sz w:val="25"/>
          <w:szCs w:val="25"/>
        </w:rPr>
      </w:pPr>
    </w:p>
    <w:p w:rsidR="00155C26" w:rsidRDefault="005B0628" w:rsidP="005B06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55C26" w:rsidRPr="00155C26">
        <w:rPr>
          <w:rFonts w:ascii="Times New Roman" w:hAnsi="Times New Roman" w:cs="Times New Roman"/>
          <w:sz w:val="25"/>
          <w:szCs w:val="25"/>
        </w:rPr>
        <w:t>a) Rs. 1,30,00,000/- shall be paid by Respondent Nos. 1 and 2 jointly and severally i.e. The State of Tamil Nadu and the Director, Government Hospital for Women &amp; Children, Egmore, Chennai; and</w:t>
      </w:r>
    </w:p>
    <w:p w:rsidR="005B0628" w:rsidRPr="00155C26" w:rsidRDefault="005B0628" w:rsidP="005B0628">
      <w:pPr>
        <w:spacing w:after="0" w:line="240" w:lineRule="auto"/>
        <w:ind w:left="720"/>
        <w:jc w:val="both"/>
        <w:rPr>
          <w:rFonts w:ascii="Times New Roman" w:hAnsi="Times New Roman" w:cs="Times New Roman"/>
          <w:sz w:val="25"/>
          <w:szCs w:val="25"/>
        </w:rPr>
      </w:pPr>
    </w:p>
    <w:p w:rsidR="00155C26" w:rsidRDefault="00155C26" w:rsidP="005B0628">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b) Rs. 8,00,000/- shall be paid by Respondent Nos. 3</w:t>
      </w:r>
      <w:r w:rsidR="005B0628">
        <w:rPr>
          <w:rFonts w:ascii="Times New Roman" w:hAnsi="Times New Roman" w:cs="Times New Roman"/>
          <w:sz w:val="25"/>
          <w:szCs w:val="25"/>
        </w:rPr>
        <w:t xml:space="preserve"> </w:t>
      </w:r>
      <w:r w:rsidRPr="00155C26">
        <w:rPr>
          <w:rFonts w:ascii="Times New Roman" w:hAnsi="Times New Roman" w:cs="Times New Roman"/>
          <w:sz w:val="25"/>
          <w:szCs w:val="25"/>
        </w:rPr>
        <w:t>and 4 equally i.e. Rs. 4,00,000/- by Dr. S. Gopaul, Neo¬pediatrician, Government Hospital for Women &amp; Children, Egmore, Chennai and Rs. 4,00,000/- by respondent no. 4 i.e. Dr. Duraisamy, Neo Natology Unit, Government Hospital for Women &amp; Children, Egmore, Chennai.</w:t>
      </w:r>
      <w:r w:rsidR="005B0628">
        <w:rPr>
          <w:rFonts w:ascii="Times New Roman" w:hAnsi="Times New Roman" w:cs="Times New Roman"/>
          <w:sz w:val="25"/>
          <w:szCs w:val="25"/>
        </w:rPr>
        <w:t xml:space="preserve"> </w:t>
      </w:r>
      <w:r w:rsidRPr="00155C26">
        <w:rPr>
          <w:rFonts w:ascii="Times New Roman" w:hAnsi="Times New Roman" w:cs="Times New Roman"/>
          <w:sz w:val="25"/>
          <w:szCs w:val="25"/>
        </w:rPr>
        <w:t>The above mentioned amount of Rs. 1,38,00,000/- shall be paid by Respondent Nos. 1 to 4 within three months from the date of this Judgment otherwise the said sum would attract a penal interest at the rate of 18% p.a.</w:t>
      </w:r>
      <w:r w:rsidR="005B0628">
        <w:rPr>
          <w:rFonts w:ascii="Times New Roman" w:hAnsi="Times New Roman" w:cs="Times New Roman"/>
          <w:sz w:val="25"/>
          <w:szCs w:val="25"/>
        </w:rPr>
        <w:t>”</w:t>
      </w:r>
    </w:p>
    <w:p w:rsidR="005B0628" w:rsidRPr="00155C26" w:rsidRDefault="005B0628"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29.  Further, we direct that the amount of Rs. 42,87,921/- in lieu of past medical expenses, shall be apportioned in the following manner:</w:t>
      </w:r>
    </w:p>
    <w:p w:rsidR="005B0628" w:rsidRPr="00155C26" w:rsidRDefault="005B0628" w:rsidP="00155C26">
      <w:pPr>
        <w:spacing w:after="0" w:line="240" w:lineRule="auto"/>
        <w:jc w:val="both"/>
        <w:rPr>
          <w:rFonts w:ascii="Times New Roman" w:hAnsi="Times New Roman" w:cs="Times New Roman"/>
          <w:sz w:val="25"/>
          <w:szCs w:val="25"/>
        </w:rPr>
      </w:pPr>
    </w:p>
    <w:p w:rsidR="00155C26" w:rsidRDefault="005B0628" w:rsidP="005B06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55C26" w:rsidRPr="00155C26">
        <w:rPr>
          <w:rFonts w:ascii="Times New Roman" w:hAnsi="Times New Roman" w:cs="Times New Roman"/>
          <w:sz w:val="25"/>
          <w:szCs w:val="25"/>
        </w:rPr>
        <w:t>a) Respondent Nos. 1 and 2 are directed to pay</w:t>
      </w:r>
      <w:r>
        <w:rPr>
          <w:rFonts w:ascii="Times New Roman" w:hAnsi="Times New Roman" w:cs="Times New Roman"/>
          <w:sz w:val="25"/>
          <w:szCs w:val="25"/>
        </w:rPr>
        <w:t xml:space="preserve"> </w:t>
      </w:r>
      <w:r w:rsidR="00155C26" w:rsidRPr="00155C26">
        <w:rPr>
          <w:rFonts w:ascii="Times New Roman" w:hAnsi="Times New Roman" w:cs="Times New Roman"/>
          <w:sz w:val="25"/>
          <w:szCs w:val="25"/>
        </w:rPr>
        <w:t>Rs. 40,00,000/- jointly, alongwith interest @ 6% p.a. fro</w:t>
      </w:r>
      <w:r>
        <w:rPr>
          <w:rFonts w:ascii="Times New Roman" w:hAnsi="Times New Roman" w:cs="Times New Roman"/>
          <w:sz w:val="25"/>
          <w:szCs w:val="25"/>
        </w:rPr>
        <w:t xml:space="preserve">m the date of filing before the </w:t>
      </w:r>
      <w:r w:rsidR="00155C26" w:rsidRPr="00155C26">
        <w:rPr>
          <w:rFonts w:ascii="Times New Roman" w:hAnsi="Times New Roman" w:cs="Times New Roman"/>
          <w:sz w:val="25"/>
          <w:szCs w:val="25"/>
        </w:rPr>
        <w:t>NCDRC; and</w:t>
      </w:r>
    </w:p>
    <w:p w:rsidR="005B0628" w:rsidRPr="00155C26" w:rsidRDefault="005B0628" w:rsidP="005B0628">
      <w:pPr>
        <w:spacing w:after="0" w:line="240" w:lineRule="auto"/>
        <w:ind w:left="720"/>
        <w:jc w:val="both"/>
        <w:rPr>
          <w:rFonts w:ascii="Times New Roman" w:hAnsi="Times New Roman" w:cs="Times New Roman"/>
          <w:sz w:val="25"/>
          <w:szCs w:val="25"/>
        </w:rPr>
      </w:pPr>
    </w:p>
    <w:p w:rsidR="00155C26" w:rsidRDefault="00155C26" w:rsidP="005B0628">
      <w:pPr>
        <w:spacing w:after="0" w:line="240" w:lineRule="auto"/>
        <w:ind w:left="720"/>
        <w:jc w:val="both"/>
        <w:rPr>
          <w:rFonts w:ascii="Times New Roman" w:hAnsi="Times New Roman" w:cs="Times New Roman"/>
          <w:sz w:val="25"/>
          <w:szCs w:val="25"/>
        </w:rPr>
      </w:pPr>
      <w:r w:rsidRPr="00155C26">
        <w:rPr>
          <w:rFonts w:ascii="Times New Roman" w:hAnsi="Times New Roman" w:cs="Times New Roman"/>
          <w:sz w:val="25"/>
          <w:szCs w:val="25"/>
        </w:rPr>
        <w:t>b) Respondent Nos. 3 and 4 are directed to pay</w:t>
      </w:r>
      <w:r w:rsidR="005B0628">
        <w:rPr>
          <w:rFonts w:ascii="Times New Roman" w:hAnsi="Times New Roman" w:cs="Times New Roman"/>
          <w:sz w:val="25"/>
          <w:szCs w:val="25"/>
        </w:rPr>
        <w:t xml:space="preserve"> </w:t>
      </w:r>
      <w:r w:rsidRPr="00155C26">
        <w:rPr>
          <w:rFonts w:ascii="Times New Roman" w:hAnsi="Times New Roman" w:cs="Times New Roman"/>
          <w:sz w:val="25"/>
          <w:szCs w:val="25"/>
        </w:rPr>
        <w:t>Rs. 2,87,921/- in equal proportion, alongwith interest @ 6% p.a. from the date of filing before the NCDRC.</w:t>
      </w:r>
      <w:r w:rsidR="005B0628">
        <w:rPr>
          <w:rFonts w:ascii="Times New Roman" w:hAnsi="Times New Roman" w:cs="Times New Roman"/>
          <w:sz w:val="25"/>
          <w:szCs w:val="25"/>
        </w:rPr>
        <w:t>”</w:t>
      </w:r>
    </w:p>
    <w:p w:rsidR="005B0628" w:rsidRPr="00155C26" w:rsidRDefault="005B0628" w:rsidP="00155C26">
      <w:pPr>
        <w:spacing w:after="0" w:line="240" w:lineRule="auto"/>
        <w:jc w:val="both"/>
        <w:rPr>
          <w:rFonts w:ascii="Times New Roman" w:hAnsi="Times New Roman" w:cs="Times New Roman"/>
          <w:sz w:val="25"/>
          <w:szCs w:val="25"/>
        </w:rPr>
      </w:pPr>
    </w:p>
    <w:p w:rsidR="00155C26" w:rsidRDefault="00155C26" w:rsidP="00155C26">
      <w:pPr>
        <w:spacing w:after="0" w:line="240" w:lineRule="auto"/>
        <w:jc w:val="both"/>
        <w:rPr>
          <w:rFonts w:ascii="Times New Roman" w:hAnsi="Times New Roman" w:cs="Times New Roman"/>
          <w:sz w:val="25"/>
          <w:szCs w:val="25"/>
        </w:rPr>
      </w:pPr>
      <w:r w:rsidRPr="00155C26">
        <w:rPr>
          <w:rFonts w:ascii="Times New Roman" w:hAnsi="Times New Roman" w:cs="Times New Roman"/>
          <w:sz w:val="25"/>
          <w:szCs w:val="25"/>
        </w:rPr>
        <w:t>30. In the event the Respondent Nos. 1 and 3 have made</w:t>
      </w:r>
      <w:r w:rsidR="005B0628">
        <w:rPr>
          <w:rFonts w:ascii="Times New Roman" w:hAnsi="Times New Roman" w:cs="Times New Roman"/>
          <w:sz w:val="25"/>
          <w:szCs w:val="25"/>
        </w:rPr>
        <w:t xml:space="preserve"> </w:t>
      </w:r>
      <w:r w:rsidRPr="00155C26">
        <w:rPr>
          <w:rFonts w:ascii="Times New Roman" w:hAnsi="Times New Roman" w:cs="Times New Roman"/>
          <w:sz w:val="25"/>
          <w:szCs w:val="25"/>
        </w:rPr>
        <w:t>any payment in accordance with the award of the NCDRC, the same may be adjusted.</w:t>
      </w:r>
    </w:p>
    <w:p w:rsidR="005B0628" w:rsidRPr="00155C26" w:rsidRDefault="005B0628" w:rsidP="00155C26">
      <w:pPr>
        <w:spacing w:after="0" w:line="240" w:lineRule="auto"/>
        <w:jc w:val="both"/>
        <w:rPr>
          <w:rFonts w:ascii="Times New Roman" w:hAnsi="Times New Roman" w:cs="Times New Roman"/>
          <w:sz w:val="25"/>
          <w:szCs w:val="25"/>
        </w:rPr>
      </w:pPr>
    </w:p>
    <w:p w:rsidR="00155C26" w:rsidRDefault="005B0628" w:rsidP="00155C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155C26" w:rsidRPr="00155C26">
        <w:rPr>
          <w:rFonts w:ascii="Times New Roman" w:hAnsi="Times New Roman" w:cs="Times New Roman"/>
          <w:sz w:val="25"/>
          <w:szCs w:val="25"/>
        </w:rPr>
        <w:t>Accordingly, Civil Appeal No. 8065 of 2009 is allowed in the above terms and Civil Appeal No. 5402 of 2010 is dismissed. No costs.</w:t>
      </w:r>
    </w:p>
    <w:p w:rsidR="005B0628" w:rsidRPr="00155C26" w:rsidRDefault="005B0628" w:rsidP="00155C26">
      <w:pPr>
        <w:spacing w:after="0" w:line="240" w:lineRule="auto"/>
        <w:jc w:val="both"/>
        <w:rPr>
          <w:rFonts w:ascii="Times New Roman" w:hAnsi="Times New Roman" w:cs="Times New Roman"/>
          <w:sz w:val="25"/>
          <w:szCs w:val="25"/>
        </w:rPr>
      </w:pPr>
    </w:p>
    <w:p w:rsidR="005B0628" w:rsidRDefault="005B0628" w:rsidP="005B06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B0628" w:rsidRDefault="005B0628" w:rsidP="005B0628">
      <w:pPr>
        <w:spacing w:after="0" w:line="240" w:lineRule="auto"/>
        <w:jc w:val="both"/>
        <w:rPr>
          <w:rFonts w:ascii="Times New Roman" w:hAnsi="Times New Roman" w:cs="Times New Roman"/>
          <w:sz w:val="25"/>
          <w:szCs w:val="25"/>
        </w:rPr>
      </w:pPr>
    </w:p>
    <w:p w:rsidR="005B0628" w:rsidRPr="005B0628" w:rsidRDefault="005B0628" w:rsidP="005B0628">
      <w:pPr>
        <w:spacing w:after="0" w:line="240" w:lineRule="auto"/>
        <w:jc w:val="both"/>
        <w:rPr>
          <w:rFonts w:ascii="Times New Roman" w:hAnsi="Times New Roman" w:cs="Times New Roman"/>
          <w:i/>
          <w:sz w:val="20"/>
          <w:szCs w:val="20"/>
        </w:rPr>
      </w:pPr>
      <w:r w:rsidRPr="005B0628">
        <w:rPr>
          <w:rFonts w:ascii="Times New Roman" w:hAnsi="Times New Roman" w:cs="Times New Roman"/>
          <w:i/>
          <w:sz w:val="20"/>
          <w:szCs w:val="20"/>
          <w:vertAlign w:val="superscript"/>
        </w:rPr>
        <w:t>5</w:t>
      </w:r>
      <w:r w:rsidRPr="005B0628">
        <w:rPr>
          <w:rFonts w:ascii="Times New Roman" w:hAnsi="Times New Roman" w:cs="Times New Roman"/>
          <w:i/>
          <w:sz w:val="20"/>
          <w:szCs w:val="20"/>
        </w:rPr>
        <w:t xml:space="preserve">(1983) 462 US </w:t>
      </w:r>
      <w:r>
        <w:rPr>
          <w:rFonts w:ascii="Times New Roman" w:hAnsi="Times New Roman" w:cs="Times New Roman"/>
          <w:i/>
          <w:sz w:val="20"/>
          <w:szCs w:val="20"/>
        </w:rPr>
        <w:t>0</w:t>
      </w:r>
      <w:r w:rsidRPr="005B0628">
        <w:rPr>
          <w:rFonts w:ascii="Times New Roman" w:hAnsi="Times New Roman" w:cs="Times New Roman"/>
          <w:i/>
          <w:sz w:val="20"/>
          <w:szCs w:val="20"/>
        </w:rPr>
        <w:t>523</w:t>
      </w:r>
    </w:p>
    <w:p w:rsidR="005B0628" w:rsidRPr="005B0628" w:rsidRDefault="005B0628" w:rsidP="005B0628">
      <w:pPr>
        <w:spacing w:after="0" w:line="240" w:lineRule="auto"/>
        <w:jc w:val="both"/>
        <w:rPr>
          <w:rFonts w:ascii="Times New Roman" w:hAnsi="Times New Roman" w:cs="Times New Roman"/>
          <w:i/>
          <w:sz w:val="20"/>
          <w:szCs w:val="20"/>
        </w:rPr>
      </w:pPr>
      <w:r w:rsidRPr="005B0628">
        <w:rPr>
          <w:rFonts w:ascii="Times New Roman" w:hAnsi="Times New Roman" w:cs="Times New Roman"/>
          <w:i/>
          <w:sz w:val="20"/>
          <w:szCs w:val="20"/>
          <w:vertAlign w:val="superscript"/>
        </w:rPr>
        <w:t>6</w:t>
      </w:r>
      <w:r w:rsidRPr="005B0628">
        <w:rPr>
          <w:rFonts w:ascii="Times New Roman" w:hAnsi="Times New Roman" w:cs="Times New Roman"/>
          <w:i/>
          <w:sz w:val="20"/>
          <w:szCs w:val="20"/>
        </w:rPr>
        <w:t>(1982) 677 F.2d 1194, at 1199 (7th Cir)</w:t>
      </w:r>
    </w:p>
    <w:p w:rsidR="005B0628" w:rsidRPr="005B0628" w:rsidRDefault="005B0628" w:rsidP="005B0628">
      <w:pPr>
        <w:spacing w:after="0" w:line="240" w:lineRule="auto"/>
        <w:jc w:val="both"/>
        <w:rPr>
          <w:rFonts w:ascii="Times New Roman" w:hAnsi="Times New Roman" w:cs="Times New Roman"/>
          <w:i/>
          <w:sz w:val="20"/>
          <w:szCs w:val="20"/>
        </w:rPr>
      </w:pPr>
      <w:r w:rsidRPr="005B0628">
        <w:rPr>
          <w:rFonts w:ascii="Times New Roman" w:hAnsi="Times New Roman" w:cs="Times New Roman"/>
          <w:i/>
          <w:sz w:val="20"/>
          <w:szCs w:val="20"/>
          <w:vertAlign w:val="superscript"/>
        </w:rPr>
        <w:lastRenderedPageBreak/>
        <w:t>7</w:t>
      </w:r>
      <w:r w:rsidRPr="005B0628">
        <w:rPr>
          <w:rFonts w:ascii="Times New Roman" w:hAnsi="Times New Roman" w:cs="Times New Roman"/>
          <w:i/>
          <w:sz w:val="20"/>
          <w:szCs w:val="20"/>
        </w:rPr>
        <w:t>(1971) A.C. 0115</w:t>
      </w:r>
    </w:p>
    <w:p w:rsidR="005B0628" w:rsidRPr="005B0628" w:rsidRDefault="005B0628" w:rsidP="005B0628">
      <w:pPr>
        <w:spacing w:after="0" w:line="240" w:lineRule="auto"/>
        <w:jc w:val="both"/>
        <w:rPr>
          <w:rFonts w:ascii="Times New Roman" w:hAnsi="Times New Roman" w:cs="Times New Roman"/>
          <w:i/>
          <w:sz w:val="20"/>
          <w:szCs w:val="20"/>
        </w:rPr>
      </w:pPr>
      <w:r w:rsidRPr="005B0628">
        <w:rPr>
          <w:rFonts w:ascii="Times New Roman" w:hAnsi="Times New Roman" w:cs="Times New Roman"/>
          <w:i/>
          <w:sz w:val="20"/>
          <w:szCs w:val="20"/>
          <w:vertAlign w:val="superscript"/>
        </w:rPr>
        <w:t>8</w:t>
      </w:r>
      <w:r w:rsidRPr="005B0628">
        <w:rPr>
          <w:rFonts w:ascii="Times New Roman" w:hAnsi="Times New Roman" w:cs="Times New Roman"/>
          <w:i/>
          <w:sz w:val="20"/>
          <w:szCs w:val="20"/>
        </w:rPr>
        <w:t>(2012) UKPC 0005</w:t>
      </w:r>
    </w:p>
    <w:p w:rsidR="005B0628" w:rsidRPr="005B0628" w:rsidRDefault="005B0628" w:rsidP="005B0628">
      <w:pPr>
        <w:spacing w:after="0" w:line="240" w:lineRule="auto"/>
        <w:jc w:val="both"/>
        <w:rPr>
          <w:rFonts w:ascii="Times New Roman" w:hAnsi="Times New Roman" w:cs="Times New Roman"/>
          <w:i/>
          <w:sz w:val="20"/>
          <w:szCs w:val="20"/>
        </w:rPr>
      </w:pPr>
      <w:r w:rsidRPr="005B0628">
        <w:rPr>
          <w:rFonts w:ascii="Times New Roman" w:hAnsi="Times New Roman" w:cs="Times New Roman"/>
          <w:i/>
          <w:sz w:val="20"/>
          <w:szCs w:val="20"/>
          <w:vertAlign w:val="superscript"/>
        </w:rPr>
        <w:t>9</w:t>
      </w:r>
      <w:r w:rsidRPr="005B0628">
        <w:rPr>
          <w:rFonts w:ascii="Times New Roman" w:hAnsi="Times New Roman" w:cs="Times New Roman"/>
          <w:i/>
          <w:sz w:val="20"/>
          <w:szCs w:val="20"/>
        </w:rPr>
        <w:t>(2004) 8 SCC 0056</w:t>
      </w:r>
    </w:p>
    <w:p w:rsidR="005B0628" w:rsidRPr="005B0628" w:rsidRDefault="005B0628" w:rsidP="005B0628">
      <w:pPr>
        <w:spacing w:after="0" w:line="240" w:lineRule="auto"/>
        <w:jc w:val="both"/>
        <w:rPr>
          <w:rFonts w:ascii="Times New Roman" w:hAnsi="Times New Roman" w:cs="Times New Roman"/>
          <w:i/>
          <w:sz w:val="20"/>
          <w:szCs w:val="20"/>
        </w:rPr>
      </w:pPr>
      <w:r w:rsidRPr="005B0628">
        <w:rPr>
          <w:rFonts w:ascii="Times New Roman" w:hAnsi="Times New Roman" w:cs="Times New Roman"/>
          <w:i/>
          <w:sz w:val="20"/>
          <w:szCs w:val="20"/>
          <w:vertAlign w:val="superscript"/>
        </w:rPr>
        <w:t>10</w:t>
      </w:r>
      <w:r w:rsidRPr="005B0628">
        <w:rPr>
          <w:rFonts w:ascii="Times New Roman" w:hAnsi="Times New Roman" w:cs="Times New Roman"/>
          <w:i/>
          <w:sz w:val="20"/>
          <w:szCs w:val="20"/>
        </w:rPr>
        <w:t>(1996) 2 SCC 0634</w:t>
      </w:r>
    </w:p>
    <w:p w:rsidR="0061630E" w:rsidRPr="00155C26" w:rsidRDefault="0061630E" w:rsidP="00155C26">
      <w:pPr>
        <w:spacing w:after="0" w:line="240" w:lineRule="auto"/>
        <w:jc w:val="both"/>
        <w:rPr>
          <w:rFonts w:ascii="Times New Roman" w:hAnsi="Times New Roman" w:cs="Times New Roman"/>
          <w:sz w:val="25"/>
          <w:szCs w:val="25"/>
        </w:rPr>
      </w:pPr>
    </w:p>
    <w:sectPr w:rsidR="0061630E" w:rsidRPr="00155C26" w:rsidSect="004D6A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CC7" w:rsidRDefault="001D4CC7" w:rsidP="0050007E">
      <w:pPr>
        <w:spacing w:after="0" w:line="240" w:lineRule="auto"/>
      </w:pPr>
      <w:r>
        <w:separator/>
      </w:r>
    </w:p>
  </w:endnote>
  <w:endnote w:type="continuationSeparator" w:id="1">
    <w:p w:rsidR="001D4CC7" w:rsidRDefault="001D4CC7"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3B524A" w:rsidRPr="0050007E" w:rsidRDefault="003B524A">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E36BC0">
          <w:rPr>
            <w:rFonts w:ascii="Times New Roman" w:hAnsi="Times New Roman" w:cs="Times New Roman"/>
            <w:noProof/>
          </w:rPr>
          <w:t>1</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3B524A" w:rsidRPr="0050007E" w:rsidRDefault="003B524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CC7" w:rsidRDefault="001D4CC7" w:rsidP="0050007E">
      <w:pPr>
        <w:spacing w:after="0" w:line="240" w:lineRule="auto"/>
      </w:pPr>
      <w:r>
        <w:separator/>
      </w:r>
    </w:p>
  </w:footnote>
  <w:footnote w:type="continuationSeparator" w:id="1">
    <w:p w:rsidR="001D4CC7" w:rsidRDefault="001D4CC7"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01189E"/>
    <w:rsid w:val="00105A7A"/>
    <w:rsid w:val="00122F87"/>
    <w:rsid w:val="001379E6"/>
    <w:rsid w:val="00155C26"/>
    <w:rsid w:val="001B6B4E"/>
    <w:rsid w:val="001D4CC7"/>
    <w:rsid w:val="001E7799"/>
    <w:rsid w:val="0022713D"/>
    <w:rsid w:val="002B02ED"/>
    <w:rsid w:val="002C3157"/>
    <w:rsid w:val="003A0632"/>
    <w:rsid w:val="003B524A"/>
    <w:rsid w:val="003D05B8"/>
    <w:rsid w:val="00454E52"/>
    <w:rsid w:val="00455A07"/>
    <w:rsid w:val="00463E07"/>
    <w:rsid w:val="004D6AF6"/>
    <w:rsid w:val="004E1B84"/>
    <w:rsid w:val="0050007E"/>
    <w:rsid w:val="00572AC8"/>
    <w:rsid w:val="005B0628"/>
    <w:rsid w:val="005D7D6A"/>
    <w:rsid w:val="005E7FAD"/>
    <w:rsid w:val="005F3B25"/>
    <w:rsid w:val="0061630E"/>
    <w:rsid w:val="006612B8"/>
    <w:rsid w:val="006D3F50"/>
    <w:rsid w:val="007A6DFF"/>
    <w:rsid w:val="008B29A1"/>
    <w:rsid w:val="008C59F8"/>
    <w:rsid w:val="009B72E1"/>
    <w:rsid w:val="00AC6D19"/>
    <w:rsid w:val="00B636EF"/>
    <w:rsid w:val="00B91A98"/>
    <w:rsid w:val="00C07C7A"/>
    <w:rsid w:val="00C11AC7"/>
    <w:rsid w:val="00C212F4"/>
    <w:rsid w:val="00CB292E"/>
    <w:rsid w:val="00E36BC0"/>
    <w:rsid w:val="00F049A9"/>
    <w:rsid w:val="00F84DAF"/>
    <w:rsid w:val="00FD6594"/>
    <w:rsid w:val="00FE5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7"/>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semiHidden/>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 w:type="table" w:styleId="TableGrid">
    <w:name w:val="Table Grid"/>
    <w:basedOn w:val="TableNormal"/>
    <w:uiPriority w:val="59"/>
    <w:rsid w:val="005D7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524A"/>
    <w:rPr>
      <w:color w:val="800080"/>
      <w:u w:val="single"/>
    </w:r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 w:id="1224415194">
      <w:bodyDiv w:val="1"/>
      <w:marLeft w:val="0"/>
      <w:marRight w:val="0"/>
      <w:marTop w:val="0"/>
      <w:marBottom w:val="0"/>
      <w:divBdr>
        <w:top w:val="none" w:sz="0" w:space="0" w:color="auto"/>
        <w:left w:val="none" w:sz="0" w:space="0" w:color="auto"/>
        <w:bottom w:val="none" w:sz="0" w:space="0" w:color="auto"/>
        <w:right w:val="none" w:sz="0" w:space="0" w:color="auto"/>
      </w:divBdr>
      <w:divsChild>
        <w:div w:id="492797240">
          <w:marLeft w:val="0"/>
          <w:marRight w:val="0"/>
          <w:marTop w:val="0"/>
          <w:marBottom w:val="150"/>
          <w:divBdr>
            <w:top w:val="none" w:sz="0" w:space="0" w:color="auto"/>
            <w:left w:val="none" w:sz="0" w:space="0" w:color="auto"/>
            <w:bottom w:val="none" w:sz="0" w:space="0" w:color="auto"/>
            <w:right w:val="none" w:sz="0" w:space="0" w:color="auto"/>
          </w:divBdr>
        </w:div>
        <w:div w:id="1863743929">
          <w:marLeft w:val="0"/>
          <w:marRight w:val="0"/>
          <w:marTop w:val="0"/>
          <w:marBottom w:val="75"/>
          <w:divBdr>
            <w:top w:val="none" w:sz="0" w:space="0" w:color="auto"/>
            <w:left w:val="none" w:sz="0" w:space="0" w:color="auto"/>
            <w:bottom w:val="none" w:sz="0" w:space="0" w:color="auto"/>
            <w:right w:val="none" w:sz="0" w:space="0" w:color="auto"/>
          </w:divBdr>
        </w:div>
      </w:divsChild>
    </w:div>
    <w:div w:id="1907450299">
      <w:bodyDiv w:val="1"/>
      <w:marLeft w:val="0"/>
      <w:marRight w:val="0"/>
      <w:marTop w:val="0"/>
      <w:marBottom w:val="0"/>
      <w:divBdr>
        <w:top w:val="none" w:sz="0" w:space="0" w:color="auto"/>
        <w:left w:val="none" w:sz="0" w:space="0" w:color="auto"/>
        <w:bottom w:val="none" w:sz="0" w:space="0" w:color="auto"/>
        <w:right w:val="none" w:sz="0" w:space="0" w:color="auto"/>
      </w:divBdr>
      <w:divsChild>
        <w:div w:id="1517620417">
          <w:marLeft w:val="0"/>
          <w:marRight w:val="0"/>
          <w:marTop w:val="0"/>
          <w:marBottom w:val="150"/>
          <w:divBdr>
            <w:top w:val="none" w:sz="0" w:space="0" w:color="auto"/>
            <w:left w:val="none" w:sz="0" w:space="0" w:color="auto"/>
            <w:bottom w:val="none" w:sz="0" w:space="0" w:color="auto"/>
            <w:right w:val="none" w:sz="0" w:space="0" w:color="auto"/>
          </w:divBdr>
        </w:div>
        <w:div w:id="1310793042">
          <w:marLeft w:val="0"/>
          <w:marRight w:val="0"/>
          <w:marTop w:val="0"/>
          <w:marBottom w:val="75"/>
          <w:divBdr>
            <w:top w:val="none" w:sz="0" w:space="0" w:color="auto"/>
            <w:left w:val="none" w:sz="0" w:space="0" w:color="auto"/>
            <w:bottom w:val="none" w:sz="0" w:space="0" w:color="auto"/>
            <w:right w:val="none" w:sz="0" w:space="0" w:color="auto"/>
          </w:divBdr>
        </w:div>
      </w:divsChild>
    </w:div>
    <w:div w:id="2100978265">
      <w:bodyDiv w:val="1"/>
      <w:marLeft w:val="0"/>
      <w:marRight w:val="0"/>
      <w:marTop w:val="0"/>
      <w:marBottom w:val="0"/>
      <w:divBdr>
        <w:top w:val="none" w:sz="0" w:space="0" w:color="auto"/>
        <w:left w:val="none" w:sz="0" w:space="0" w:color="auto"/>
        <w:bottom w:val="none" w:sz="0" w:space="0" w:color="auto"/>
        <w:right w:val="none" w:sz="0" w:space="0" w:color="auto"/>
      </w:divBdr>
      <w:divsChild>
        <w:div w:id="824855184">
          <w:marLeft w:val="0"/>
          <w:marRight w:val="0"/>
          <w:marTop w:val="0"/>
          <w:marBottom w:val="150"/>
          <w:divBdr>
            <w:top w:val="none" w:sz="0" w:space="0" w:color="auto"/>
            <w:left w:val="none" w:sz="0" w:space="0" w:color="auto"/>
            <w:bottom w:val="none" w:sz="0" w:space="0" w:color="auto"/>
            <w:right w:val="none" w:sz="0" w:space="0" w:color="auto"/>
          </w:divBdr>
        </w:div>
        <w:div w:id="30161753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C4CF-9127-4CFB-8966-9C801AA2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2016-05-30T13:32:00Z</cp:lastPrinted>
  <dcterms:created xsi:type="dcterms:W3CDTF">2016-05-30T13:32:00Z</dcterms:created>
  <dcterms:modified xsi:type="dcterms:W3CDTF">2016-05-30T13:33:00Z</dcterms:modified>
</cp:coreProperties>
</file>